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247B6">
      <w:pPr>
        <w:rPr>
          <w:rFonts w:ascii="Arial" w:hAnsi="Arial" w:cs="Arial"/>
          <w:b/>
          <w:color w:val="000000" w:themeColor="text1"/>
          <w:sz w:val="28"/>
          <w:szCs w:val="28"/>
          <w:lang w:eastAsia="zh-CN"/>
          <w14:textFill>
            <w14:solidFill>
              <w14:schemeClr w14:val="tx1"/>
            </w14:solidFill>
          </w14:textFill>
        </w:rPr>
      </w:pPr>
      <w:r>
        <w:rPr>
          <w:rFonts w:ascii="Arial" w:hAnsi="Arial" w:cs="Arial"/>
          <w:b/>
          <w:color w:val="000000" w:themeColor="text1"/>
          <w:sz w:val="28"/>
          <w:szCs w:val="28"/>
          <w14:textFill>
            <w14:solidFill>
              <w14:schemeClr w14:val="tx1"/>
            </w14:solidFill>
          </w14:textFill>
        </w:rPr>
        <w:t>3GPP TSG RAN WG1 #124</w:t>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ab/>
      </w:r>
      <w:r>
        <w:rPr>
          <w:rFonts w:ascii="Arial" w:hAnsi="Arial" w:cs="Arial"/>
          <w:b/>
          <w:color w:val="000000" w:themeColor="text1"/>
          <w:sz w:val="28"/>
          <w:szCs w:val="28"/>
          <w14:textFill>
            <w14:solidFill>
              <w14:schemeClr w14:val="tx1"/>
            </w14:solidFill>
          </w14:textFill>
        </w:rPr>
        <w:t>R1-2601050</w:t>
      </w:r>
    </w:p>
    <w:p w14:paraId="7B45C976">
      <w:pPr>
        <w:rPr>
          <w:rFonts w:ascii="Arial" w:hAnsi="Arial" w:cs="Arial"/>
          <w:b/>
          <w:color w:val="000000" w:themeColor="text1"/>
          <w:sz w:val="28"/>
          <w:szCs w:val="28"/>
          <w14:textFill>
            <w14:solidFill>
              <w14:schemeClr w14:val="tx1"/>
            </w14:solidFill>
          </w14:textFill>
        </w:rPr>
      </w:pPr>
      <w:r>
        <w:rPr>
          <w:rFonts w:ascii="Arial" w:hAnsi="Arial" w:cs="Arial"/>
          <w:b/>
          <w:color w:val="000000" w:themeColor="text1"/>
          <w:sz w:val="28"/>
          <w:szCs w:val="28"/>
          <w:lang w:eastAsia="zh-CN"/>
          <w14:textFill>
            <w14:solidFill>
              <w14:schemeClr w14:val="tx1"/>
            </w14:solidFill>
          </w14:textFill>
        </w:rPr>
        <w:t>Gothenburg, SE, Feb. 9th ~ 13th, 2026</w:t>
      </w:r>
    </w:p>
    <w:p w14:paraId="3F4EA47C">
      <w:pPr>
        <w:rPr>
          <w:rFonts w:ascii="Arial" w:hAnsi="Arial" w:cs="Arial"/>
          <w:b/>
          <w:color w:val="000000" w:themeColor="text1"/>
          <w:sz w:val="24"/>
          <w:szCs w:val="24"/>
          <w:highlight w:val="yellow"/>
          <w14:textFill>
            <w14:solidFill>
              <w14:schemeClr w14:val="tx1"/>
            </w14:solidFill>
          </w14:textFill>
        </w:rPr>
      </w:pPr>
    </w:p>
    <w:p w14:paraId="4709032F">
      <w:pPr>
        <w:rPr>
          <w:rFonts w:eastAsiaTheme="minorEastAsia"/>
          <w:b/>
          <w:color w:val="000000" w:themeColor="text1"/>
          <w:sz w:val="22"/>
          <w:lang w:eastAsia="zh-CN"/>
          <w14:textFill>
            <w14:solidFill>
              <w14:schemeClr w14:val="tx1"/>
            </w14:solidFill>
          </w14:textFill>
        </w:rPr>
      </w:pPr>
      <w:r>
        <w:rPr>
          <w:rFonts w:eastAsia="Times New Roman"/>
          <w:b/>
          <w:color w:val="000000" w:themeColor="text1"/>
          <w:sz w:val="22"/>
          <w14:textFill>
            <w14:solidFill>
              <w14:schemeClr w14:val="tx1"/>
            </w14:solidFill>
          </w14:textFill>
        </w:rPr>
        <w:t>Agenda item:</w:t>
      </w:r>
      <w:r>
        <w:rPr>
          <w:rFonts w:eastAsia="Times New Roman"/>
          <w:b/>
          <w:color w:val="000000" w:themeColor="text1"/>
          <w:sz w:val="22"/>
          <w14:textFill>
            <w14:solidFill>
              <w14:schemeClr w14:val="tx1"/>
            </w14:solidFill>
          </w14:textFill>
        </w:rPr>
        <w:tab/>
      </w:r>
      <w:r>
        <w:rPr>
          <w:rFonts w:eastAsia="Times New Roman"/>
          <w:b/>
          <w:color w:val="000000" w:themeColor="text1"/>
          <w:sz w:val="22"/>
          <w14:textFill>
            <w14:solidFill>
              <w14:schemeClr w14:val="tx1"/>
            </w14:solidFill>
          </w14:textFill>
        </w:rPr>
        <w:tab/>
      </w:r>
      <w:r>
        <w:rPr>
          <w:rFonts w:hint="eastAsia" w:eastAsiaTheme="minorEastAsia"/>
          <w:b/>
          <w:color w:val="000000" w:themeColor="text1"/>
          <w:sz w:val="22"/>
          <w:lang w:eastAsia="zh-CN"/>
          <w14:textFill>
            <w14:solidFill>
              <w14:schemeClr w14:val="tx1"/>
            </w14:solidFill>
          </w14:textFill>
        </w:rPr>
        <w:t>10.5.2.2</w:t>
      </w:r>
    </w:p>
    <w:p w14:paraId="3FCC0F9F">
      <w:pPr>
        <w:rPr>
          <w:rFonts w:eastAsia="Times New Roman"/>
          <w:b/>
          <w:color w:val="000000" w:themeColor="text1"/>
          <w:sz w:val="22"/>
          <w:lang w:val="en-US" w:eastAsia="zh-CN"/>
          <w14:textFill>
            <w14:solidFill>
              <w14:schemeClr w14:val="tx1"/>
            </w14:solidFill>
          </w14:textFill>
        </w:rPr>
      </w:pPr>
      <w:r>
        <w:rPr>
          <w:rFonts w:eastAsia="Times New Roman"/>
          <w:b/>
          <w:color w:val="000000" w:themeColor="text1"/>
          <w:sz w:val="22"/>
          <w14:textFill>
            <w14:solidFill>
              <w14:schemeClr w14:val="tx1"/>
            </w14:solidFill>
          </w14:textFill>
        </w:rPr>
        <w:t xml:space="preserve">Source: </w:t>
      </w:r>
      <w:r>
        <w:rPr>
          <w:rFonts w:eastAsia="Times New Roman"/>
          <w:b/>
          <w:color w:val="000000" w:themeColor="text1"/>
          <w:sz w:val="22"/>
          <w14:textFill>
            <w14:solidFill>
              <w14:schemeClr w14:val="tx1"/>
            </w14:solidFill>
          </w14:textFill>
        </w:rPr>
        <w:tab/>
      </w:r>
      <w:r>
        <w:rPr>
          <w:rFonts w:eastAsia="Times New Roman"/>
          <w:b/>
          <w:color w:val="000000" w:themeColor="text1"/>
          <w:sz w:val="22"/>
          <w14:textFill>
            <w14:solidFill>
              <w14:schemeClr w14:val="tx1"/>
            </w14:solidFill>
          </w14:textFill>
        </w:rPr>
        <w:tab/>
      </w:r>
      <w:r>
        <w:rPr>
          <w:rFonts w:eastAsia="Times New Roman"/>
          <w:b/>
          <w:color w:val="000000" w:themeColor="text1"/>
          <w:sz w:val="22"/>
          <w14:textFill>
            <w14:solidFill>
              <w14:schemeClr w14:val="tx1"/>
            </w14:solidFill>
          </w14:textFill>
        </w:rPr>
        <w:tab/>
      </w:r>
      <w:r>
        <w:rPr>
          <w:rFonts w:hint="eastAsia" w:eastAsia="宋体"/>
          <w:b/>
          <w:color w:val="000000" w:themeColor="text1"/>
          <w:sz w:val="22"/>
          <w:lang w:val="en-US" w:eastAsia="zh-CN"/>
          <w14:textFill>
            <w14:solidFill>
              <w14:schemeClr w14:val="tx1"/>
            </w14:solidFill>
          </w14:textFill>
        </w:rPr>
        <w:tab/>
      </w:r>
      <w:r>
        <w:rPr>
          <w:rFonts w:eastAsia="Times New Roman"/>
          <w:b/>
          <w:color w:val="000000" w:themeColor="text1"/>
          <w:sz w:val="22"/>
          <w:lang w:eastAsia="zh-CN"/>
          <w14:textFill>
            <w14:solidFill>
              <w14:schemeClr w14:val="tx1"/>
            </w14:solidFill>
          </w14:textFill>
        </w:rPr>
        <w:t>Shanghai Jiao Tong University</w:t>
      </w:r>
      <w:r>
        <w:rPr>
          <w:rFonts w:hint="eastAsia" w:eastAsia="Times New Roman"/>
          <w:b/>
          <w:color w:val="000000" w:themeColor="text1"/>
          <w:sz w:val="22"/>
          <w:lang w:eastAsia="zh-CN"/>
          <w14:textFill>
            <w14:solidFill>
              <w14:schemeClr w14:val="tx1"/>
            </w14:solidFill>
          </w14:textFill>
        </w:rPr>
        <w:t>,</w:t>
      </w:r>
      <w:r>
        <w:rPr>
          <w:rFonts w:hint="eastAsia" w:eastAsia="Times New Roman"/>
          <w:b/>
          <w:color w:val="000000" w:themeColor="text1"/>
          <w:sz w:val="22"/>
          <w:lang w:val="en-US" w:eastAsia="zh-CN"/>
          <w14:textFill>
            <w14:solidFill>
              <w14:schemeClr w14:val="tx1"/>
            </w14:solidFill>
          </w14:textFill>
        </w:rPr>
        <w:t xml:space="preserve"> NERC-DTV</w:t>
      </w:r>
    </w:p>
    <w:p w14:paraId="12800FAC">
      <w:pPr>
        <w:ind w:left="2100" w:hanging="2100"/>
        <w:rPr>
          <w:rFonts w:eastAsia="Times New Roman"/>
          <w:b/>
          <w:color w:val="000000" w:themeColor="text1"/>
          <w:sz w:val="22"/>
          <w14:textFill>
            <w14:solidFill>
              <w14:schemeClr w14:val="tx1"/>
            </w14:solidFill>
          </w14:textFill>
        </w:rPr>
      </w:pPr>
      <w:r>
        <w:rPr>
          <w:rFonts w:eastAsia="Times New Roman"/>
          <w:b/>
          <w:color w:val="000000" w:themeColor="text1"/>
          <w:sz w:val="22"/>
          <w14:textFill>
            <w14:solidFill>
              <w14:schemeClr w14:val="tx1"/>
            </w14:solidFill>
          </w14:textFill>
        </w:rPr>
        <w:t>Title:</w:t>
      </w:r>
      <w:r>
        <w:rPr>
          <w:rFonts w:eastAsia="Times New Roman"/>
          <w:b/>
          <w:color w:val="000000" w:themeColor="text1"/>
          <w:sz w:val="22"/>
          <w14:textFill>
            <w14:solidFill>
              <w14:schemeClr w14:val="tx1"/>
            </w14:solidFill>
          </w14:textFill>
        </w:rPr>
        <w:tab/>
      </w:r>
      <w:r>
        <w:rPr>
          <w:rFonts w:eastAsiaTheme="minorEastAsia"/>
          <w:b/>
          <w:color w:val="000000" w:themeColor="text1"/>
          <w:sz w:val="22"/>
          <w:lang w:eastAsia="zh-CN"/>
          <w14:textFill>
            <w14:solidFill>
              <w14:schemeClr w14:val="tx1"/>
            </w14:solidFill>
          </w14:textFill>
        </w:rPr>
        <w:t>Discussion on downlink transmission scheme(s) for downlink shared channels</w:t>
      </w:r>
      <w:r>
        <w:rPr>
          <w:rFonts w:eastAsia="Times New Roman"/>
          <w:b/>
          <w:color w:val="000000" w:themeColor="text1"/>
          <w:sz w:val="22"/>
          <w14:textFill>
            <w14:solidFill>
              <w14:schemeClr w14:val="tx1"/>
            </w14:solidFill>
          </w14:textFill>
        </w:rPr>
        <w:t xml:space="preserve"> </w:t>
      </w:r>
    </w:p>
    <w:p w14:paraId="55E5E2D8">
      <w:pPr>
        <w:rPr>
          <w:rFonts w:hint="default" w:eastAsia="宋体"/>
          <w:b/>
          <w:sz w:val="22"/>
          <w:lang w:val="en-US" w:eastAsia="zh-CN"/>
        </w:rPr>
      </w:pPr>
      <w:r>
        <w:rPr>
          <w:rFonts w:eastAsia="Times New Roman"/>
          <w:b/>
          <w:sz w:val="22"/>
        </w:rPr>
        <w:t>Document for:</w:t>
      </w:r>
      <w:r>
        <w:rPr>
          <w:rFonts w:eastAsia="Times New Roman"/>
          <w:b/>
          <w:sz w:val="22"/>
        </w:rPr>
        <w:tab/>
      </w:r>
      <w:r>
        <w:rPr>
          <w:rFonts w:eastAsia="Times New Roman"/>
          <w:b/>
          <w:sz w:val="22"/>
        </w:rPr>
        <w:tab/>
      </w:r>
      <w:r>
        <w:rPr>
          <w:rFonts w:eastAsia="Times New Roman"/>
          <w:b/>
          <w:sz w:val="22"/>
        </w:rPr>
        <w:t>Discussion</w:t>
      </w:r>
      <w:r>
        <w:rPr>
          <w:rFonts w:hint="eastAsia" w:eastAsia="宋体"/>
          <w:b/>
          <w:sz w:val="22"/>
          <w:lang w:val="en-US" w:eastAsia="zh-CN"/>
        </w:rPr>
        <w:t>/Decision</w:t>
      </w:r>
      <w:bookmarkStart w:id="3" w:name="_GoBack"/>
      <w:bookmarkEnd w:id="3"/>
    </w:p>
    <w:p w14:paraId="6F3C5C7F">
      <w:pPr>
        <w:pStyle w:val="2"/>
        <w:numPr>
          <w:ilvl w:val="0"/>
          <w:numId w:val="2"/>
        </w:numPr>
      </w:pPr>
      <w:r>
        <w:t>Introduction</w:t>
      </w:r>
    </w:p>
    <w:p w14:paraId="79B560C8">
      <w:pPr>
        <w:spacing w:after="120" w:afterLines="50"/>
        <w:rPr>
          <w:rFonts w:eastAsiaTheme="minorEastAsia"/>
          <w:color w:val="000000" w:themeColor="text1"/>
          <w:sz w:val="22"/>
          <w:szCs w:val="22"/>
          <w:lang w:eastAsia="zh-CN"/>
          <w14:textFill>
            <w14:solidFill>
              <w14:schemeClr w14:val="tx1"/>
            </w14:solidFill>
          </w14:textFill>
        </w:rPr>
      </w:pPr>
      <w:r>
        <w:rPr>
          <w:rFonts w:hint="eastAsia" w:eastAsiaTheme="minorEastAsia"/>
          <w:color w:val="000000" w:themeColor="text1"/>
          <w:sz w:val="22"/>
          <w:szCs w:val="22"/>
          <w:lang w:eastAsia="zh-CN"/>
          <w14:textFill>
            <w14:solidFill>
              <w14:schemeClr w14:val="tx1"/>
            </w14:solidFill>
          </w14:textFill>
        </w:rPr>
        <w:t xml:space="preserve">In </w:t>
      </w:r>
      <w:r>
        <w:rPr>
          <w:rFonts w:eastAsiaTheme="minorEastAsia"/>
          <w:color w:val="000000" w:themeColor="text1"/>
          <w:sz w:val="22"/>
          <w:szCs w:val="22"/>
          <w:lang w:eastAsia="zh-CN"/>
          <w14:textFill>
            <w14:solidFill>
              <w14:schemeClr w14:val="tx1"/>
            </w14:solidFill>
          </w14:textFill>
        </w:rPr>
        <w:t>RAN #108, the “New SID: Study on 6G Radio” was approved [1], which includes study objectives related to the application of AI/ML for 6G Radio and the Radio Access Network.</w:t>
      </w:r>
    </w:p>
    <w:p w14:paraId="3E4EC12F">
      <w:pPr>
        <w:jc w:val="both"/>
        <w:rPr>
          <w:sz w:val="22"/>
          <w:szCs w:val="22"/>
          <w:lang w:eastAsia="zh-CN"/>
        </w:rPr>
      </w:pPr>
      <w:r>
        <w:rPr>
          <w:rFonts w:eastAsia="宋体"/>
          <w:sz w:val="21"/>
          <w:szCs w:val="21"/>
        </w:rPr>
        <mc:AlternateContent>
          <mc:Choice Requires="wps">
            <w:drawing>
              <wp:inline distT="0" distB="0" distL="0" distR="0">
                <wp:extent cx="6120130" cy="2558415"/>
                <wp:effectExtent l="0" t="0" r="13970" b="10160"/>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120130" cy="2558695"/>
                        </a:xfrm>
                        <a:prstGeom prst="rect">
                          <a:avLst/>
                        </a:prstGeom>
                        <a:solidFill>
                          <a:srgbClr val="FFFFFF"/>
                        </a:solidFill>
                        <a:ln w="9525">
                          <a:solidFill>
                            <a:srgbClr val="000000"/>
                          </a:solidFill>
                          <a:miter lim="800000"/>
                        </a:ln>
                      </wps:spPr>
                      <wps:txbx>
                        <w:txbxContent>
                          <w:p w14:paraId="277700A6">
                            <w:pPr>
                              <w:pStyle w:val="32"/>
                              <w:ind w:left="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AI/ML for 6GR and Radio Access Network, leveraging 5G AI/ML framework, as appropriate [See TR38.843] [RAN1, RAN2, RAN3, RAN4]</w:t>
                            </w:r>
                          </w:p>
                          <w:p w14:paraId="1B609548">
                            <w:pPr>
                              <w:pStyle w:val="32"/>
                              <w:numPr>
                                <w:ilvl w:val="0"/>
                                <w:numId w:val="3"/>
                              </w:numPr>
                              <w:spacing w:after="120"/>
                              <w:ind w:left="300" w:leftChars="15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 xml:space="preserve">Identify Use Case(s) of interest (either existing or new) with compelling trade-off between e.g., performance, complexity, etc… </w:t>
                            </w:r>
                            <w:r>
                              <w:rPr>
                                <w:color w:val="000000" w:themeColor="text1"/>
                                <w:sz w:val="22"/>
                                <w:szCs w:val="18"/>
                                <w14:textFill>
                                  <w14:solidFill>
                                    <w14:schemeClr w14:val="tx1"/>
                                  </w14:solidFill>
                                </w14:textFill>
                              </w:rPr>
                              <w:br w:type="textWrapping"/>
                            </w:r>
                            <w:r>
                              <w:rPr>
                                <w:color w:val="000000" w:themeColor="text1"/>
                                <w:sz w:val="22"/>
                                <w:szCs w:val="18"/>
                                <w14:textFill>
                                  <w14:solidFill>
                                    <w14:schemeClr w14:val="tx1"/>
                                  </w14:solidFill>
                                </w14:textFill>
                              </w:rPr>
                              <w:t>Coordinated discussion needs to be ensured with related design areas, where needed (e.g., MIMO, Mobility, etc…)</w:t>
                            </w:r>
                          </w:p>
                          <w:p w14:paraId="634BAEBD">
                            <w:pPr>
                              <w:ind w:firstLine="72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NOTE: lead WG depends on the use case.</w:t>
                            </w:r>
                          </w:p>
                          <w:p w14:paraId="697B82B7">
                            <w:pPr>
                              <w:pStyle w:val="32"/>
                              <w:numPr>
                                <w:ilvl w:val="0"/>
                                <w:numId w:val="3"/>
                              </w:numPr>
                              <w:spacing w:after="120"/>
                              <w:ind w:left="300" w:leftChars="15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AI/ML framework: Extensible AI/ML enablers based on the identified Use Case(s), including</w:t>
                            </w:r>
                          </w:p>
                          <w:p w14:paraId="4252A290">
                            <w:pPr>
                              <w:pStyle w:val="32"/>
                              <w:numPr>
                                <w:ilvl w:val="1"/>
                                <w:numId w:val="4"/>
                              </w:numPr>
                              <w:spacing w:after="120"/>
                              <w:ind w:left="1085" w:leftChars="450" w:hanging="185"/>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LCM procedures [RAN</w:t>
                            </w:r>
                            <w:r>
                              <w:rPr>
                                <w:rFonts w:hint="eastAsia"/>
                                <w:color w:val="000000" w:themeColor="text1"/>
                                <w:sz w:val="22"/>
                                <w:szCs w:val="18"/>
                                <w14:textFill>
                                  <w14:solidFill>
                                    <w14:schemeClr w14:val="tx1"/>
                                  </w14:solidFill>
                                </w14:textFill>
                              </w:rPr>
                              <w:t>2</w:t>
                            </w:r>
                            <w:r>
                              <w:rPr>
                                <w:color w:val="000000" w:themeColor="text1"/>
                                <w:sz w:val="22"/>
                                <w:szCs w:val="18"/>
                                <w14:textFill>
                                  <w14:solidFill>
                                    <w14:schemeClr w14:val="tx1"/>
                                  </w14:solidFill>
                                </w14:textFill>
                              </w:rPr>
                              <w:t>, RAN</w:t>
                            </w:r>
                            <w:r>
                              <w:rPr>
                                <w:rFonts w:hint="eastAsia"/>
                                <w:color w:val="000000" w:themeColor="text1"/>
                                <w:sz w:val="22"/>
                                <w:szCs w:val="18"/>
                                <w14:textFill>
                                  <w14:solidFill>
                                    <w14:schemeClr w14:val="tx1"/>
                                  </w14:solidFill>
                                </w14:textFill>
                              </w:rPr>
                              <w:t>1</w:t>
                            </w:r>
                            <w:r>
                              <w:rPr>
                                <w:color w:val="000000" w:themeColor="text1"/>
                                <w:sz w:val="22"/>
                                <w:szCs w:val="18"/>
                                <w14:textFill>
                                  <w14:solidFill>
                                    <w14:schemeClr w14:val="tx1"/>
                                  </w14:solidFill>
                                </w14:textFill>
                              </w:rPr>
                              <w:t>, RAN3, RAN4]</w:t>
                            </w:r>
                          </w:p>
                          <w:p w14:paraId="7733405B">
                            <w:pPr>
                              <w:pStyle w:val="32"/>
                              <w:numPr>
                                <w:ilvl w:val="1"/>
                                <w:numId w:val="4"/>
                              </w:numPr>
                              <w:spacing w:after="120"/>
                              <w:ind w:left="1085" w:leftChars="450" w:hanging="185"/>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Data collection and data management, in coordination with SA WGs</w:t>
                            </w:r>
                            <w:r>
                              <w:rPr>
                                <w:rFonts w:hint="eastAsia"/>
                                <w:color w:val="000000" w:themeColor="text1"/>
                                <w:sz w:val="22"/>
                                <w:szCs w:val="18"/>
                                <w14:textFill>
                                  <w14:solidFill>
                                    <w14:schemeClr w14:val="tx1"/>
                                  </w14:solidFill>
                                </w14:textFill>
                              </w:rPr>
                              <w:t xml:space="preserve"> </w:t>
                            </w:r>
                            <w:r>
                              <w:rPr>
                                <w:color w:val="000000" w:themeColor="text1"/>
                                <w:sz w:val="22"/>
                                <w:szCs w:val="18"/>
                                <w14:textFill>
                                  <w14:solidFill>
                                    <w14:schemeClr w14:val="tx1"/>
                                  </w14:solidFill>
                                </w14:textFill>
                              </w:rPr>
                              <w:t>[RAN2, RAN3</w:t>
                            </w:r>
                            <w:r>
                              <w:rPr>
                                <w:rFonts w:hint="eastAsia"/>
                                <w:color w:val="000000" w:themeColor="text1"/>
                                <w:sz w:val="22"/>
                                <w:szCs w:val="18"/>
                                <w14:textFill>
                                  <w14:solidFill>
                                    <w14:schemeClr w14:val="tx1"/>
                                  </w14:solidFill>
                                </w14:textFill>
                              </w:rPr>
                              <w:t>, RAN1</w:t>
                            </w:r>
                            <w:r>
                              <w:rPr>
                                <w:color w:val="000000" w:themeColor="text1"/>
                                <w:sz w:val="22"/>
                                <w:szCs w:val="18"/>
                                <w14:textFill>
                                  <w14:solidFill>
                                    <w14:schemeClr w14:val="tx1"/>
                                  </w14:solidFill>
                                </w14:textFill>
                              </w:rPr>
                              <w:t>]</w:t>
                            </w:r>
                          </w:p>
                          <w:p w14:paraId="0438DF4B">
                            <w:pPr>
                              <w:ind w:left="26" w:leftChars="13"/>
                              <w:rPr>
                                <w:color w:val="000000" w:themeColor="text1"/>
                                <w:sz w:val="22"/>
                                <w:szCs w:val="18"/>
                                <w14:textFill>
                                  <w14:solidFill>
                                    <w14:schemeClr w14:val="tx1"/>
                                  </w14:solidFill>
                                </w14:textFill>
                              </w:rPr>
                            </w:pPr>
                            <w:r>
                              <w:rPr>
                                <w:rFonts w:hint="eastAsia"/>
                                <w:color w:val="000000" w:themeColor="text1"/>
                                <w:sz w:val="22"/>
                                <w:szCs w:val="18"/>
                                <w14:textFill>
                                  <w14:solidFill>
                                    <w14:schemeClr w14:val="tx1"/>
                                  </w14:solidFill>
                                </w14:textFill>
                              </w:rPr>
                              <w:t xml:space="preserve">Note: NW for AI is assumed to be </w:t>
                            </w:r>
                            <w:r>
                              <w:rPr>
                                <w:color w:val="000000" w:themeColor="text1"/>
                                <w:sz w:val="22"/>
                                <w:szCs w:val="18"/>
                                <w14:textFill>
                                  <w14:solidFill>
                                    <w14:schemeClr w14:val="tx1"/>
                                  </w14:solidFill>
                                </w14:textFill>
                              </w:rPr>
                              <w:t>covered</w:t>
                            </w:r>
                            <w:r>
                              <w:rPr>
                                <w:rFonts w:hint="eastAsia"/>
                                <w:color w:val="000000" w:themeColor="text1"/>
                                <w:sz w:val="22"/>
                                <w:szCs w:val="18"/>
                                <w14:textFill>
                                  <w14:solidFill>
                                    <w14:schemeClr w14:val="tx1"/>
                                  </w14:solidFill>
                                </w14:textFill>
                              </w:rPr>
                              <w:t xml:space="preserve"> by new </w:t>
                            </w:r>
                            <w:r>
                              <w:rPr>
                                <w:color w:val="000000" w:themeColor="text1"/>
                                <w:sz w:val="22"/>
                                <w:szCs w:val="18"/>
                                <w14:textFill>
                                  <w14:solidFill>
                                    <w14:schemeClr w14:val="tx1"/>
                                  </w14:solidFill>
                                </w14:textFill>
                              </w:rPr>
                              <w:t>services</w:t>
                            </w:r>
                          </w:p>
                          <w:p w14:paraId="14DAFA05">
                            <w:pPr>
                              <w:ind w:left="26" w:leftChars="13"/>
                              <w:rPr>
                                <w:rFonts w:eastAsia="宋体"/>
                                <w:color w:val="000000" w:themeColor="text1"/>
                                <w:sz w:val="22"/>
                                <w:szCs w:val="18"/>
                                <w:lang w:eastAsia="zh-CN"/>
                                <w14:textFill>
                                  <w14:solidFill>
                                    <w14:schemeClr w14:val="tx1"/>
                                  </w14:solidFill>
                                </w14:textFill>
                              </w:rPr>
                            </w:pPr>
                            <w:r>
                              <w:rPr>
                                <w:color w:val="000000" w:themeColor="text1"/>
                                <w:sz w:val="22"/>
                                <w:szCs w:val="18"/>
                                <w14:textFill>
                                  <w14:solidFill>
                                    <w14:schemeClr w14:val="tx1"/>
                                  </w14:solidFill>
                                </w14:textFill>
                              </w:rPr>
                              <w:t>6GR and RAN design shall ensure that the 6G System can also operate without AI/ML</w:t>
                            </w:r>
                          </w:p>
                        </w:txbxContent>
                      </wps:txbx>
                      <wps:bodyPr rot="0" vert="horz" wrap="square" lIns="91440" tIns="45720" rIns="91440" bIns="45720" anchor="t" anchorCtr="0">
                        <a:spAutoFit/>
                      </wps:bodyPr>
                    </wps:wsp>
                  </a:graphicData>
                </a:graphic>
              </wp:inline>
            </w:drawing>
          </mc:Choice>
          <mc:Fallback>
            <w:pict>
              <v:shape id="_x0000_s1026" o:spid="_x0000_s1026" o:spt="202" type="#_x0000_t202" style="height:201.45pt;width:481.9pt;" fillcolor="#FFFFFF" filled="t" stroked="t" coordsize="21600,21600" o:gfxdata="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5vG1y1QAAAAUBAAAPAAAAAAAAAAEAIAAAACIAAABkcnMvZG93bnJl&#10;di54bWxQSwECFAAUAAAACACHTuJA4suaITkCAAB8BAAADgAAAAAAAAABACAAAAAkAQAAZHJzL2Uy&#10;b0RvYy54bWxQSwUGAAAAAAYABgBZAQAAzwUAAAAA&#10;">
                <v:fill on="t" focussize="0,0"/>
                <v:stroke color="#000000" miterlimit="8" joinstyle="miter"/>
                <v:imagedata o:title=""/>
                <o:lock v:ext="edit" aspectratio="f"/>
                <v:textbox style="mso-fit-shape-to-text:t;">
                  <w:txbxContent>
                    <w:p w14:paraId="277700A6">
                      <w:pPr>
                        <w:pStyle w:val="32"/>
                        <w:ind w:left="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AI/ML for 6GR and Radio Access Network, leveraging 5G AI/ML framework, as appropriate [See TR38.843] [RAN1, RAN2, RAN3, RAN4]</w:t>
                      </w:r>
                    </w:p>
                    <w:p w14:paraId="1B609548">
                      <w:pPr>
                        <w:pStyle w:val="32"/>
                        <w:numPr>
                          <w:ilvl w:val="0"/>
                          <w:numId w:val="3"/>
                        </w:numPr>
                        <w:spacing w:after="120"/>
                        <w:ind w:left="300" w:leftChars="15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 xml:space="preserve">Identify Use Case(s) of interest (either existing or new) with compelling trade-off between e.g., performance, complexity, etc… </w:t>
                      </w:r>
                      <w:r>
                        <w:rPr>
                          <w:color w:val="000000" w:themeColor="text1"/>
                          <w:sz w:val="22"/>
                          <w:szCs w:val="18"/>
                          <w14:textFill>
                            <w14:solidFill>
                              <w14:schemeClr w14:val="tx1"/>
                            </w14:solidFill>
                          </w14:textFill>
                        </w:rPr>
                        <w:br w:type="textWrapping"/>
                      </w:r>
                      <w:r>
                        <w:rPr>
                          <w:color w:val="000000" w:themeColor="text1"/>
                          <w:sz w:val="22"/>
                          <w:szCs w:val="18"/>
                          <w14:textFill>
                            <w14:solidFill>
                              <w14:schemeClr w14:val="tx1"/>
                            </w14:solidFill>
                          </w14:textFill>
                        </w:rPr>
                        <w:t>Coordinated discussion needs to be ensured with related design areas, where needed (e.g., MIMO, Mobility, etc…)</w:t>
                      </w:r>
                    </w:p>
                    <w:p w14:paraId="634BAEBD">
                      <w:pPr>
                        <w:ind w:firstLine="72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NOTE: lead WG depends on the use case.</w:t>
                      </w:r>
                    </w:p>
                    <w:p w14:paraId="697B82B7">
                      <w:pPr>
                        <w:pStyle w:val="32"/>
                        <w:numPr>
                          <w:ilvl w:val="0"/>
                          <w:numId w:val="3"/>
                        </w:numPr>
                        <w:spacing w:after="120"/>
                        <w:ind w:left="300" w:leftChars="150"/>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AI/ML framework: Extensible AI/ML enablers based on the identified Use Case(s), including</w:t>
                      </w:r>
                    </w:p>
                    <w:p w14:paraId="4252A290">
                      <w:pPr>
                        <w:pStyle w:val="32"/>
                        <w:numPr>
                          <w:ilvl w:val="1"/>
                          <w:numId w:val="4"/>
                        </w:numPr>
                        <w:spacing w:after="120"/>
                        <w:ind w:left="1085" w:leftChars="450" w:hanging="185"/>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LCM procedures [RAN</w:t>
                      </w:r>
                      <w:r>
                        <w:rPr>
                          <w:rFonts w:hint="eastAsia"/>
                          <w:color w:val="000000" w:themeColor="text1"/>
                          <w:sz w:val="22"/>
                          <w:szCs w:val="18"/>
                          <w14:textFill>
                            <w14:solidFill>
                              <w14:schemeClr w14:val="tx1"/>
                            </w14:solidFill>
                          </w14:textFill>
                        </w:rPr>
                        <w:t>2</w:t>
                      </w:r>
                      <w:r>
                        <w:rPr>
                          <w:color w:val="000000" w:themeColor="text1"/>
                          <w:sz w:val="22"/>
                          <w:szCs w:val="18"/>
                          <w14:textFill>
                            <w14:solidFill>
                              <w14:schemeClr w14:val="tx1"/>
                            </w14:solidFill>
                          </w14:textFill>
                        </w:rPr>
                        <w:t>, RAN</w:t>
                      </w:r>
                      <w:r>
                        <w:rPr>
                          <w:rFonts w:hint="eastAsia"/>
                          <w:color w:val="000000" w:themeColor="text1"/>
                          <w:sz w:val="22"/>
                          <w:szCs w:val="18"/>
                          <w14:textFill>
                            <w14:solidFill>
                              <w14:schemeClr w14:val="tx1"/>
                            </w14:solidFill>
                          </w14:textFill>
                        </w:rPr>
                        <w:t>1</w:t>
                      </w:r>
                      <w:r>
                        <w:rPr>
                          <w:color w:val="000000" w:themeColor="text1"/>
                          <w:sz w:val="22"/>
                          <w:szCs w:val="18"/>
                          <w14:textFill>
                            <w14:solidFill>
                              <w14:schemeClr w14:val="tx1"/>
                            </w14:solidFill>
                          </w14:textFill>
                        </w:rPr>
                        <w:t>, RAN3, RAN4]</w:t>
                      </w:r>
                    </w:p>
                    <w:p w14:paraId="7733405B">
                      <w:pPr>
                        <w:pStyle w:val="32"/>
                        <w:numPr>
                          <w:ilvl w:val="1"/>
                          <w:numId w:val="4"/>
                        </w:numPr>
                        <w:spacing w:after="120"/>
                        <w:ind w:left="1085" w:leftChars="450" w:hanging="185"/>
                        <w:rPr>
                          <w:color w:val="000000" w:themeColor="text1"/>
                          <w:sz w:val="22"/>
                          <w:szCs w:val="18"/>
                          <w14:textFill>
                            <w14:solidFill>
                              <w14:schemeClr w14:val="tx1"/>
                            </w14:solidFill>
                          </w14:textFill>
                        </w:rPr>
                      </w:pPr>
                      <w:r>
                        <w:rPr>
                          <w:color w:val="000000" w:themeColor="text1"/>
                          <w:sz w:val="22"/>
                          <w:szCs w:val="18"/>
                          <w14:textFill>
                            <w14:solidFill>
                              <w14:schemeClr w14:val="tx1"/>
                            </w14:solidFill>
                          </w14:textFill>
                        </w:rPr>
                        <w:t>Data collection and data management, in coordination with SA WGs</w:t>
                      </w:r>
                      <w:r>
                        <w:rPr>
                          <w:rFonts w:hint="eastAsia"/>
                          <w:color w:val="000000" w:themeColor="text1"/>
                          <w:sz w:val="22"/>
                          <w:szCs w:val="18"/>
                          <w14:textFill>
                            <w14:solidFill>
                              <w14:schemeClr w14:val="tx1"/>
                            </w14:solidFill>
                          </w14:textFill>
                        </w:rPr>
                        <w:t xml:space="preserve"> </w:t>
                      </w:r>
                      <w:r>
                        <w:rPr>
                          <w:color w:val="000000" w:themeColor="text1"/>
                          <w:sz w:val="22"/>
                          <w:szCs w:val="18"/>
                          <w14:textFill>
                            <w14:solidFill>
                              <w14:schemeClr w14:val="tx1"/>
                            </w14:solidFill>
                          </w14:textFill>
                        </w:rPr>
                        <w:t>[RAN2, RAN3</w:t>
                      </w:r>
                      <w:r>
                        <w:rPr>
                          <w:rFonts w:hint="eastAsia"/>
                          <w:color w:val="000000" w:themeColor="text1"/>
                          <w:sz w:val="22"/>
                          <w:szCs w:val="18"/>
                          <w14:textFill>
                            <w14:solidFill>
                              <w14:schemeClr w14:val="tx1"/>
                            </w14:solidFill>
                          </w14:textFill>
                        </w:rPr>
                        <w:t>, RAN1</w:t>
                      </w:r>
                      <w:r>
                        <w:rPr>
                          <w:color w:val="000000" w:themeColor="text1"/>
                          <w:sz w:val="22"/>
                          <w:szCs w:val="18"/>
                          <w14:textFill>
                            <w14:solidFill>
                              <w14:schemeClr w14:val="tx1"/>
                            </w14:solidFill>
                          </w14:textFill>
                        </w:rPr>
                        <w:t>]</w:t>
                      </w:r>
                    </w:p>
                    <w:p w14:paraId="0438DF4B">
                      <w:pPr>
                        <w:ind w:left="26" w:leftChars="13"/>
                        <w:rPr>
                          <w:color w:val="000000" w:themeColor="text1"/>
                          <w:sz w:val="22"/>
                          <w:szCs w:val="18"/>
                          <w14:textFill>
                            <w14:solidFill>
                              <w14:schemeClr w14:val="tx1"/>
                            </w14:solidFill>
                          </w14:textFill>
                        </w:rPr>
                      </w:pPr>
                      <w:r>
                        <w:rPr>
                          <w:rFonts w:hint="eastAsia"/>
                          <w:color w:val="000000" w:themeColor="text1"/>
                          <w:sz w:val="22"/>
                          <w:szCs w:val="18"/>
                          <w14:textFill>
                            <w14:solidFill>
                              <w14:schemeClr w14:val="tx1"/>
                            </w14:solidFill>
                          </w14:textFill>
                        </w:rPr>
                        <w:t xml:space="preserve">Note: NW for AI is assumed to be </w:t>
                      </w:r>
                      <w:r>
                        <w:rPr>
                          <w:color w:val="000000" w:themeColor="text1"/>
                          <w:sz w:val="22"/>
                          <w:szCs w:val="18"/>
                          <w14:textFill>
                            <w14:solidFill>
                              <w14:schemeClr w14:val="tx1"/>
                            </w14:solidFill>
                          </w14:textFill>
                        </w:rPr>
                        <w:t>covered</w:t>
                      </w:r>
                      <w:r>
                        <w:rPr>
                          <w:rFonts w:hint="eastAsia"/>
                          <w:color w:val="000000" w:themeColor="text1"/>
                          <w:sz w:val="22"/>
                          <w:szCs w:val="18"/>
                          <w14:textFill>
                            <w14:solidFill>
                              <w14:schemeClr w14:val="tx1"/>
                            </w14:solidFill>
                          </w14:textFill>
                        </w:rPr>
                        <w:t xml:space="preserve"> by new </w:t>
                      </w:r>
                      <w:r>
                        <w:rPr>
                          <w:color w:val="000000" w:themeColor="text1"/>
                          <w:sz w:val="22"/>
                          <w:szCs w:val="18"/>
                          <w14:textFill>
                            <w14:solidFill>
                              <w14:schemeClr w14:val="tx1"/>
                            </w14:solidFill>
                          </w14:textFill>
                        </w:rPr>
                        <w:t>services</w:t>
                      </w:r>
                    </w:p>
                    <w:p w14:paraId="14DAFA05">
                      <w:pPr>
                        <w:ind w:left="26" w:leftChars="13"/>
                        <w:rPr>
                          <w:rFonts w:eastAsia="宋体"/>
                          <w:color w:val="000000" w:themeColor="text1"/>
                          <w:sz w:val="22"/>
                          <w:szCs w:val="18"/>
                          <w:lang w:eastAsia="zh-CN"/>
                          <w14:textFill>
                            <w14:solidFill>
                              <w14:schemeClr w14:val="tx1"/>
                            </w14:solidFill>
                          </w14:textFill>
                        </w:rPr>
                      </w:pPr>
                      <w:r>
                        <w:rPr>
                          <w:color w:val="000000" w:themeColor="text1"/>
                          <w:sz w:val="22"/>
                          <w:szCs w:val="18"/>
                          <w14:textFill>
                            <w14:solidFill>
                              <w14:schemeClr w14:val="tx1"/>
                            </w14:solidFill>
                          </w14:textFill>
                        </w:rPr>
                        <w:t>6GR and RAN design shall ensure that the 6G System can also operate without AI/ML</w:t>
                      </w:r>
                    </w:p>
                  </w:txbxContent>
                </v:textbox>
                <w10:wrap type="none"/>
                <w10:anchorlock/>
              </v:shape>
            </w:pict>
          </mc:Fallback>
        </mc:AlternateContent>
      </w:r>
    </w:p>
    <w:p w14:paraId="6E55EA88">
      <w:pPr>
        <w:jc w:val="both"/>
        <w:rPr>
          <w:sz w:val="22"/>
          <w:szCs w:val="22"/>
          <w:lang w:eastAsia="zh-CN"/>
        </w:rPr>
      </w:pPr>
      <w:r>
        <w:rPr>
          <w:rFonts w:hint="eastAsia"/>
          <w:sz w:val="22"/>
          <w:szCs w:val="22"/>
          <w:lang w:eastAsia="zh-CN"/>
        </w:rPr>
        <w:t>In</w:t>
      </w:r>
      <w:r>
        <w:rPr>
          <w:sz w:val="22"/>
          <w:szCs w:val="22"/>
          <w:lang w:eastAsia="zh-CN"/>
        </w:rPr>
        <w:t xml:space="preserve"> </w:t>
      </w:r>
      <w:r>
        <w:rPr>
          <w:rFonts w:hint="eastAsia"/>
          <w:sz w:val="22"/>
          <w:szCs w:val="22"/>
          <w:lang w:eastAsia="zh-CN"/>
        </w:rPr>
        <w:t>RAN #</w:t>
      </w:r>
      <w:r>
        <w:rPr>
          <w:sz w:val="22"/>
          <w:szCs w:val="22"/>
          <w:lang w:eastAsia="zh-CN"/>
        </w:rPr>
        <w:t>123</w:t>
      </w:r>
      <w:r>
        <w:rPr>
          <w:rFonts w:hint="eastAsia"/>
          <w:sz w:val="22"/>
          <w:szCs w:val="22"/>
          <w:lang w:eastAsia="zh-CN"/>
        </w:rPr>
        <w:t>[2]</w:t>
      </w:r>
      <w:r>
        <w:rPr>
          <w:sz w:val="22"/>
          <w:szCs w:val="22"/>
          <w:lang w:eastAsia="zh-CN"/>
        </w:rPr>
        <w:t>, use cases “DMRS design with AI receiver”</w:t>
      </w:r>
      <w:r>
        <w:rPr>
          <w:rFonts w:hint="eastAsia"/>
          <w:sz w:val="22"/>
          <w:szCs w:val="22"/>
          <w:lang w:eastAsia="zh-CN"/>
        </w:rPr>
        <w:t xml:space="preserve"> </w:t>
      </w:r>
      <w:r>
        <w:rPr>
          <w:sz w:val="22"/>
          <w:szCs w:val="22"/>
          <w:lang w:eastAsia="zh-CN"/>
        </w:rPr>
        <w:t>were discussed in detail</w:t>
      </w:r>
      <w:r>
        <w:rPr>
          <w:rFonts w:hint="eastAsia"/>
          <w:sz w:val="22"/>
          <w:szCs w:val="22"/>
          <w:lang w:eastAsia="zh-CN"/>
        </w:rPr>
        <w:t>.</w:t>
      </w:r>
    </w:p>
    <w:p w14:paraId="71136807">
      <w:pPr>
        <w:rPr>
          <w:rFonts w:eastAsiaTheme="minorEastAsia"/>
        </w:rPr>
      </w:pPr>
      <w:r>
        <w:rPr>
          <w:rFonts w:hint="eastAsia" w:eastAsiaTheme="minorEastAsia"/>
          <w:highlight w:val="yellow"/>
        </w:rPr>
        <w:t>Observation</w:t>
      </w:r>
      <w:r>
        <w:rPr>
          <w:rFonts w:eastAsiaTheme="minorEastAsia"/>
          <w:highlight w:val="yellow"/>
        </w:rPr>
        <w:t xml:space="preserve"> 2.2</w:t>
      </w:r>
    </w:p>
    <w:p w14:paraId="108AC1DE">
      <w:r>
        <w:t>For 6GR AI/ML use cases identification</w:t>
      </w:r>
      <w:r>
        <w:rPr>
          <w:rFonts w:hint="eastAsia"/>
        </w:rPr>
        <w:t>/</w:t>
      </w:r>
      <w:r>
        <w:t>categorization, [23 sources] provided preliminary simulation results and analysis on low overhead DMRS with AI/ML receiver.</w:t>
      </w:r>
    </w:p>
    <w:p w14:paraId="363C15B9">
      <w:pPr>
        <w:pStyle w:val="32"/>
        <w:numPr>
          <w:ilvl w:val="0"/>
          <w:numId w:val="5"/>
        </w:numPr>
        <w:overflowPunct/>
        <w:autoSpaceDE/>
        <w:autoSpaceDN/>
        <w:adjustRightInd/>
        <w:ind w:left="714" w:hanging="357"/>
        <w:jc w:val="both"/>
        <w:textAlignment w:val="auto"/>
      </w:pPr>
      <w:r>
        <w:t xml:space="preserve">[25 sources] provided preliminary simulation results and analysis on sparse orthogonal DMRS in frequency and/or time domain with AI/ML receiver. </w:t>
      </w:r>
    </w:p>
    <w:p w14:paraId="3A1A3D43">
      <w:pPr>
        <w:overflowPunct/>
        <w:autoSpaceDE/>
        <w:autoSpaceDN/>
        <w:adjustRightInd/>
        <w:jc w:val="both"/>
        <w:textAlignment w:val="auto"/>
        <w:rPr>
          <w:lang w:eastAsia="zh-CN"/>
        </w:rPr>
      </w:pPr>
      <w:r>
        <w:rPr>
          <w:lang w:eastAsia="zh-CN"/>
        </w:rPr>
        <w:t xml:space="preserve">It can be seen that </w:t>
      </w:r>
      <w:r>
        <w:rPr>
          <w:rFonts w:hint="eastAsia"/>
          <w:lang w:eastAsia="zh-CN"/>
        </w:rPr>
        <w:t>most</w:t>
      </w:r>
      <w:r>
        <w:rPr>
          <w:lang w:eastAsia="zh-CN"/>
        </w:rPr>
        <w:t xml:space="preserve"> of proposals discuss</w:t>
      </w:r>
      <w:r>
        <w:rPr>
          <w:rFonts w:hint="eastAsia"/>
          <w:lang w:eastAsia="zh-CN"/>
        </w:rPr>
        <w:t xml:space="preserve"> the use case</w:t>
      </w:r>
      <w:r>
        <w:rPr>
          <w:lang w:eastAsia="zh-CN"/>
        </w:rPr>
        <w:t xml:space="preserve"> sparse orthogonal </w:t>
      </w:r>
      <w:r>
        <w:rPr>
          <w:rFonts w:hint="eastAsia"/>
          <w:lang w:eastAsia="zh-CN"/>
        </w:rPr>
        <w:t>DMRS (sub-case A)</w:t>
      </w:r>
      <w:r>
        <w:rPr>
          <w:lang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3096"/>
        <w:gridCol w:w="2789"/>
        <w:gridCol w:w="2424"/>
      </w:tblGrid>
      <w:tr w14:paraId="4A1D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84" w:type="pct"/>
            <w:tcBorders>
              <w:bottom w:val="single" w:color="auto" w:sz="4" w:space="0"/>
            </w:tcBorders>
            <w:shd w:val="clear" w:color="auto" w:fill="BEBEBE" w:themeFill="background1" w:themeFillShade="BF"/>
            <w:noWrap/>
          </w:tcPr>
          <w:p w14:paraId="1BAD1220">
            <w:r>
              <w:t>Sub-use case</w:t>
            </w:r>
          </w:p>
        </w:tc>
        <w:tc>
          <w:tcPr>
            <w:tcW w:w="1571" w:type="pct"/>
            <w:tcBorders>
              <w:bottom w:val="single" w:color="auto" w:sz="4" w:space="0"/>
            </w:tcBorders>
            <w:shd w:val="clear" w:color="auto" w:fill="BEBEBE" w:themeFill="background1" w:themeFillShade="BF"/>
          </w:tcPr>
          <w:p w14:paraId="599D26D9">
            <w:r>
              <w:t xml:space="preserve">Sub-case A: </w:t>
            </w:r>
          </w:p>
          <w:p w14:paraId="7CE828C5">
            <w:r>
              <w:t>Sparse orthogonal DMRS in frequency and/or time domain</w:t>
            </w:r>
          </w:p>
        </w:tc>
        <w:tc>
          <w:tcPr>
            <w:tcW w:w="1415" w:type="pct"/>
            <w:tcBorders>
              <w:bottom w:val="single" w:color="auto" w:sz="4" w:space="0"/>
            </w:tcBorders>
            <w:shd w:val="clear" w:color="auto" w:fill="BEBEBE" w:themeFill="background1" w:themeFillShade="BF"/>
          </w:tcPr>
          <w:p w14:paraId="71711AE1">
            <w:r>
              <w:t>Sub-case B:</w:t>
            </w:r>
          </w:p>
          <w:p w14:paraId="1B2119C2">
            <w:r>
              <w:t>Superimposed pilot</w:t>
            </w:r>
          </w:p>
        </w:tc>
        <w:tc>
          <w:tcPr>
            <w:tcW w:w="1230" w:type="pct"/>
            <w:tcBorders>
              <w:bottom w:val="single" w:color="auto" w:sz="4" w:space="0"/>
            </w:tcBorders>
            <w:shd w:val="clear" w:color="auto" w:fill="BEBEBE" w:themeFill="background1" w:themeFillShade="BF"/>
          </w:tcPr>
          <w:p w14:paraId="5FE5F03B">
            <w:r>
              <w:t xml:space="preserve">Sub-case C: </w:t>
            </w:r>
          </w:p>
          <w:p w14:paraId="133DEF96">
            <w:r>
              <w:t>DMRS free</w:t>
            </w:r>
          </w:p>
        </w:tc>
      </w:tr>
      <w:tr w14:paraId="79C6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84" w:type="pct"/>
            <w:tcBorders>
              <w:bottom w:val="single" w:color="auto" w:sz="4" w:space="0"/>
            </w:tcBorders>
            <w:shd w:val="clear" w:color="auto" w:fill="9BBB59" w:themeFill="accent3"/>
            <w:noWrap/>
          </w:tcPr>
          <w:p w14:paraId="587E1BF3">
            <w:r>
              <w:t>Reported companies</w:t>
            </w:r>
          </w:p>
        </w:tc>
        <w:tc>
          <w:tcPr>
            <w:tcW w:w="1571" w:type="pct"/>
            <w:tcBorders>
              <w:bottom w:val="single" w:color="auto" w:sz="4" w:space="0"/>
            </w:tcBorders>
            <w:shd w:val="clear" w:color="auto" w:fill="9BBB59" w:themeFill="accent3"/>
          </w:tcPr>
          <w:p w14:paraId="790328B1">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{Spreadtrum,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hint="eastAsia" w:eastAsia="宋体"/>
              </w:rPr>
              <w:t>BJTU</w:t>
            </w:r>
            <w:r>
              <w:rPr>
                <w:rFonts w:hint="eastAsia" w:eastAsia="宋体"/>
                <w:vertAlign w:val="superscript"/>
              </w:rPr>
              <w:t>24</w:t>
            </w:r>
            <w:r>
              <w:rPr>
                <w:rFonts w:eastAsia="宋体"/>
              </w:rPr>
              <w:t>, IIT Kanpur</w:t>
            </w:r>
            <w:r>
              <w:rPr>
                <w:rFonts w:eastAsia="宋体"/>
                <w:vertAlign w:val="superscript"/>
              </w:rPr>
              <w:t>25</w:t>
            </w:r>
          </w:p>
        </w:tc>
        <w:tc>
          <w:tcPr>
            <w:tcW w:w="1415" w:type="pct"/>
            <w:tcBorders>
              <w:bottom w:val="single" w:color="auto" w:sz="4" w:space="0"/>
            </w:tcBorders>
            <w:shd w:val="clear" w:color="auto" w:fill="9BBB59" w:themeFill="accent3"/>
          </w:tcPr>
          <w:p w14:paraId="093D1254">
            <w:pPr>
              <w:rPr>
                <w:rFonts w:eastAsia="宋体"/>
                <w:lang w:val="pt-BR"/>
              </w:rPr>
            </w:pPr>
            <w:r>
              <w:rPr>
                <w:lang w:val="pt-BR"/>
              </w:rPr>
              <w:t>(</w:t>
            </w:r>
            <w:r>
              <w:rPr>
                <w:rFonts w:eastAsia="宋体"/>
                <w:lang w:val="pt-BR"/>
              </w:rPr>
              <w:t>12</w:t>
            </w:r>
            <w:r>
              <w:rPr>
                <w:lang w:val="pt-BR"/>
              </w:rPr>
              <w:t xml:space="preserve">) </w:t>
            </w:r>
            <w:r>
              <w:rPr>
                <w:rFonts w:eastAsiaTheme="minorEastAsia"/>
                <w:lang w:val="pt-BR"/>
              </w:rPr>
              <w:t>vivo</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hint="eastAsia"/>
                <w:vertAlign w:val="baseline"/>
                <w:lang w:val="en-US" w:eastAsia="zh-CN"/>
              </w:rPr>
              <w:t xml:space="preserve">, </w:t>
            </w:r>
            <w:r>
              <w:rPr>
                <w:rFonts w:eastAsiaTheme="minor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DocoMo</w:t>
            </w:r>
            <w:r>
              <w:rPr>
                <w:vertAlign w:val="superscript"/>
                <w:lang w:val="pt-BR"/>
              </w:rPr>
              <w:t>11</w:t>
            </w:r>
            <w:r>
              <w:rPr>
                <w:lang w:val="pt-BR"/>
              </w:rPr>
              <w:t xml:space="preserve">, </w:t>
            </w:r>
            <w:r>
              <w:rPr>
                <w:rFonts w:cs="Times" w:eastAsiaTheme="minorEastAsia"/>
                <w:lang w:val="pt-BR"/>
              </w:rPr>
              <w:t>Kyocera</w:t>
            </w:r>
            <w:r>
              <w:rPr>
                <w:rFonts w:cs="Times" w:eastAsiaTheme="minorEastAsia"/>
                <w:vertAlign w:val="superscript"/>
                <w:lang w:val="pt-BR"/>
              </w:rPr>
              <w:t>12</w:t>
            </w:r>
          </w:p>
        </w:tc>
        <w:tc>
          <w:tcPr>
            <w:tcW w:w="1230" w:type="pct"/>
            <w:tcBorders>
              <w:bottom w:val="single" w:color="auto" w:sz="4" w:space="0"/>
            </w:tcBorders>
            <w:shd w:val="clear" w:color="auto" w:fill="9BBB59" w:themeFill="accent3"/>
          </w:tcPr>
          <w:p w14:paraId="06F4D618">
            <w:pPr>
              <w:rPr>
                <w:rFonts w:eastAsia="宋体"/>
                <w:vertAlign w:val="superscript"/>
                <w:lang w:val="pt-BR"/>
              </w:rPr>
            </w:pPr>
            <w:r>
              <w:rPr>
                <w:lang w:val="de-DE"/>
              </w:rPr>
              <w:t>(9)</w:t>
            </w:r>
            <w:r>
              <w:rPr>
                <w:rFonts w:eastAsia="宋体"/>
                <w:lang w:val="pt-BR"/>
              </w:rPr>
              <w:t xml:space="preserve"> BJTU</w:t>
            </w:r>
            <w:r>
              <w:rPr>
                <w:rFonts w:eastAsia="宋体"/>
                <w:vertAlign w:val="superscript"/>
                <w:lang w:val="pt-BR"/>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p>
        </w:tc>
      </w:tr>
      <w:tr w14:paraId="06FA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tcBorders>
              <w:top w:val="single" w:color="auto" w:sz="4" w:space="0"/>
            </w:tcBorders>
            <w:noWrap/>
          </w:tcPr>
          <w:p w14:paraId="3CC71A3E">
            <w:r>
              <w:t>Model input</w:t>
            </w:r>
          </w:p>
        </w:tc>
        <w:tc>
          <w:tcPr>
            <w:tcW w:w="1571" w:type="pct"/>
            <w:tcBorders>
              <w:top w:val="single" w:color="auto" w:sz="4" w:space="0"/>
            </w:tcBorders>
          </w:tcPr>
          <w:p w14:paraId="3D469550">
            <w:r>
              <w:t xml:space="preserve">1. </w:t>
            </w:r>
            <w:r>
              <w:rPr>
                <w:rFonts w:eastAsia="Batang"/>
                <w:color w:val="000000"/>
              </w:rPr>
              <w:t>R</w:t>
            </w:r>
            <w:r>
              <w:rPr>
                <w:rFonts w:hint="eastAsia" w:eastAsia="Batang"/>
                <w:color w:val="000000"/>
              </w:rPr>
              <w:t>eceived</w:t>
            </w:r>
            <w:r>
              <w:t xml:space="preserve"> signal/estimated channel at DMRS and/or data REs and received signal on data </w:t>
            </w:r>
            <w:r>
              <w:rPr>
                <w:vertAlign w:val="superscript"/>
              </w:rPr>
              <w:t>1,2,6,13, 22,15,3,17,10,4, 20,6,18,23,19,8,</w:t>
            </w:r>
            <w:r>
              <w:rPr>
                <w:rFonts w:hint="eastAsia" w:eastAsia="宋体"/>
                <w:vertAlign w:val="superscript"/>
              </w:rPr>
              <w:t xml:space="preserve"> 24</w:t>
            </w:r>
          </w:p>
          <w:p w14:paraId="57DB0144">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hint="eastAsia" w:eastAsia="宋体"/>
                <w:vertAlign w:val="superscript"/>
              </w:rPr>
              <w:t>24</w:t>
            </w:r>
          </w:p>
          <w:p w14:paraId="07CC7A6E"/>
          <w:p w14:paraId="4A817094">
            <w:pPr>
              <w:rPr>
                <w:vertAlign w:val="superscript"/>
              </w:rPr>
            </w:pPr>
            <w:r>
              <w:t>2. Received signal/estimated channel at DMRS</w:t>
            </w:r>
            <w:r>
              <w:rPr>
                <w:vertAlign w:val="superscript"/>
              </w:rPr>
              <w:t xml:space="preserve">2,7, </w:t>
            </w:r>
            <w:r>
              <w:rPr>
                <w:rFonts w:hint="eastAsia" w:eastAsia="宋体"/>
                <w:vertAlign w:val="superscript"/>
              </w:rPr>
              <w:t>8</w:t>
            </w:r>
            <w:r>
              <w:rPr>
                <w:rFonts w:eastAsia="宋体"/>
                <w:vertAlign w:val="superscript"/>
              </w:rPr>
              <w:t>,</w:t>
            </w:r>
            <w:r>
              <w:rPr>
                <w:vertAlign w:val="superscript"/>
              </w:rPr>
              <w:t>11,12,13,16,5,23,25</w:t>
            </w:r>
          </w:p>
          <w:p w14:paraId="62C8B475"/>
        </w:tc>
        <w:tc>
          <w:tcPr>
            <w:tcW w:w="1415" w:type="pct"/>
            <w:tcBorders>
              <w:top w:val="single" w:color="auto" w:sz="4" w:space="0"/>
            </w:tcBorders>
          </w:tcPr>
          <w:p w14:paraId="48BFCC69">
            <w:pPr>
              <w:rPr>
                <w:vertAlign w:val="superscript"/>
              </w:rPr>
            </w:pPr>
            <w:r>
              <w:t xml:space="preserve">1. </w:t>
            </w:r>
            <w:r>
              <w:rPr>
                <w:rFonts w:hint="eastAsia" w:eastAsia="Batang"/>
                <w:color w:val="000000"/>
              </w:rPr>
              <w:t>Received</w:t>
            </w:r>
            <w:r>
              <w:t xml:space="preserve"> signal </w:t>
            </w:r>
            <w:r>
              <w:rPr>
                <w:rFonts w:hint="eastAsia"/>
              </w:rPr>
              <w:t xml:space="preserve">and DMRS sequence </w:t>
            </w:r>
            <w:r>
              <w:t>(superimposed signal) (Majority)</w:t>
            </w:r>
          </w:p>
          <w:p w14:paraId="0111C52B">
            <w:pPr>
              <w:rPr>
                <w:vertAlign w:val="superscript"/>
              </w:rPr>
            </w:pPr>
            <w:r>
              <w:t xml:space="preserve">2. Estimated channel (in delay and/or doppler domain) </w:t>
            </w:r>
            <w:r>
              <w:rPr>
                <w:rFonts w:eastAsia="Batang"/>
                <w:color w:val="000000"/>
              </w:rPr>
              <w:t>from the received</w:t>
            </w:r>
            <w:r>
              <w:t xml:space="preserve"> signal (superimposed signal)</w:t>
            </w:r>
            <w:r>
              <w:rPr>
                <w:vertAlign w:val="superscript"/>
              </w:rPr>
              <w:t xml:space="preserve"> 1</w:t>
            </w:r>
          </w:p>
          <w:p w14:paraId="21C5C11D"/>
          <w:p w14:paraId="3A8E3BBF">
            <w:r>
              <w:t>For Tx side of two-sided model: modulated symbols and DMRS symbol</w:t>
            </w:r>
            <w:r>
              <w:rPr>
                <w:vertAlign w:val="superscript"/>
              </w:rPr>
              <w:t>5</w:t>
            </w:r>
          </w:p>
        </w:tc>
        <w:tc>
          <w:tcPr>
            <w:tcW w:w="1230" w:type="pct"/>
            <w:tcBorders>
              <w:top w:val="single" w:color="auto" w:sz="4" w:space="0"/>
            </w:tcBorders>
          </w:tcPr>
          <w:p w14:paraId="7D96D4EE">
            <w:r>
              <w:t>Received signal</w:t>
            </w:r>
            <w:r>
              <w:rPr>
                <w:vertAlign w:val="superscript"/>
              </w:rPr>
              <w:t>3, 4,6-9</w:t>
            </w:r>
            <w:r>
              <w:t xml:space="preserve"> </w:t>
            </w:r>
          </w:p>
          <w:p w14:paraId="1E739C02"/>
          <w:p w14:paraId="5434C1C8">
            <w:r>
              <w:t>For Tx side of two-sided model: coded bit</w:t>
            </w:r>
            <w:r>
              <w:rPr>
                <w:vertAlign w:val="superscript"/>
              </w:rPr>
              <w:t>2</w:t>
            </w:r>
            <w:r>
              <w:rPr>
                <w:rFonts w:hint="eastAsia"/>
                <w:vertAlign w:val="superscript"/>
              </w:rPr>
              <w:t>,5</w:t>
            </w:r>
            <w:r>
              <w:rPr>
                <w:vertAlign w:val="superscript"/>
              </w:rPr>
              <w:t>,1</w:t>
            </w:r>
          </w:p>
        </w:tc>
      </w:tr>
      <w:tr w14:paraId="3C4C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64554636">
            <w:r>
              <w:t>Model output</w:t>
            </w:r>
          </w:p>
        </w:tc>
        <w:tc>
          <w:tcPr>
            <w:tcW w:w="1571" w:type="pct"/>
          </w:tcPr>
          <w:p w14:paraId="36737303">
            <w:pPr>
              <w:rPr>
                <w:vertAlign w:val="superscript"/>
              </w:rPr>
            </w:pPr>
            <w:r>
              <w:t>1. Estimated channel at target data and/or DMRS REs</w:t>
            </w:r>
            <w:r>
              <w:rPr>
                <w:color w:val="000000" w:themeColor="text1"/>
                <w:vertAlign w:val="superscript"/>
                <w14:textFill>
                  <w14:solidFill>
                    <w14:schemeClr w14:val="tx1"/>
                  </w14:solidFill>
                </w14:textFill>
              </w:rPr>
              <w:t>2,4,5</w:t>
            </w:r>
            <w:r>
              <w:rPr>
                <w:vertAlign w:val="superscript"/>
              </w:rPr>
              <w:t>,7,8,9,11, 12, 13,16,17,18,19,21,22,23,25</w:t>
            </w:r>
          </w:p>
          <w:p w14:paraId="06101B6D">
            <w:pPr>
              <w:rPr>
                <w:vertAlign w:val="superscript"/>
              </w:rPr>
            </w:pPr>
            <w:r>
              <w:t xml:space="preserve"> 1a. Estimated noise variance </w:t>
            </w:r>
            <w:r>
              <w:rPr>
                <w:vertAlign w:val="superscript"/>
              </w:rPr>
              <w:t>12</w:t>
            </w:r>
          </w:p>
          <w:p w14:paraId="32F8D634">
            <w:r>
              <w:t xml:space="preserve">2. </w:t>
            </w:r>
            <w:r>
              <w:rPr>
                <w:color w:val="000000"/>
              </w:rPr>
              <w:t>LLRs</w:t>
            </w:r>
            <w:r>
              <w:rPr>
                <w:vertAlign w:val="superscript"/>
              </w:rPr>
              <w:t>1,2,3,</w:t>
            </w:r>
            <w:r>
              <w:rPr>
                <w:rFonts w:hint="eastAsia" w:eastAsiaTheme="minorEastAsia"/>
                <w:vertAlign w:val="superscript"/>
              </w:rPr>
              <w:t xml:space="preserve"> </w:t>
            </w:r>
            <w:r>
              <w:rPr>
                <w:rFonts w:eastAsiaTheme="minorEastAsia"/>
                <w:vertAlign w:val="superscript"/>
              </w:rPr>
              <w:t>4, 6,</w:t>
            </w:r>
            <w:r>
              <w:rPr>
                <w:rFonts w:hint="eastAsia" w:eastAsiaTheme="minorEastAsia"/>
                <w:vertAlign w:val="superscript"/>
              </w:rPr>
              <w:t>10,</w:t>
            </w:r>
            <w:r>
              <w:rPr>
                <w:vertAlign w:val="superscript"/>
              </w:rPr>
              <w:t xml:space="preserve"> 13,14,15,19,20, 22,</w:t>
            </w:r>
            <w:r>
              <w:rPr>
                <w:rFonts w:hint="eastAsia" w:eastAsia="宋体"/>
                <w:vertAlign w:val="superscript"/>
              </w:rPr>
              <w:t>24</w:t>
            </w:r>
          </w:p>
          <w:p w14:paraId="0F3E45D0">
            <w:pPr>
              <w:rPr>
                <w:vertAlign w:val="superscript"/>
              </w:rPr>
            </w:pPr>
            <w:r>
              <w:t xml:space="preserve">3. Filtering coefficients for channel estimation </w:t>
            </w:r>
            <w:r>
              <w:rPr>
                <w:vertAlign w:val="superscript"/>
              </w:rPr>
              <w:t>7</w:t>
            </w:r>
          </w:p>
          <w:p w14:paraId="6308E386">
            <w:r>
              <w:rPr>
                <w:rFonts w:hint="eastAsia" w:eastAsiaTheme="minorEastAsia"/>
              </w:rPr>
              <w:t>4</w:t>
            </w:r>
            <w:r>
              <w:rPr>
                <w:rFonts w:eastAsiaTheme="minorEastAsia"/>
              </w:rPr>
              <w:t xml:space="preserve">. </w:t>
            </w:r>
            <w:r>
              <w:t>Estimated modulation symbols</w:t>
            </w:r>
            <w:r>
              <w:rPr>
                <w:vertAlign w:val="superscript"/>
              </w:rPr>
              <w:t>8</w:t>
            </w:r>
          </w:p>
          <w:p w14:paraId="670D76E6">
            <w:pPr>
              <w:rPr>
                <w:rFonts w:eastAsiaTheme="minorEastAsia"/>
              </w:rPr>
            </w:pPr>
            <w:r>
              <w:t>5. Equalizer coefficients</w:t>
            </w:r>
            <w:r>
              <w:rPr>
                <w:vertAlign w:val="superscript"/>
              </w:rPr>
              <w:t>6</w:t>
            </w:r>
          </w:p>
        </w:tc>
        <w:tc>
          <w:tcPr>
            <w:tcW w:w="1415" w:type="pct"/>
          </w:tcPr>
          <w:p w14:paraId="0A9752FD">
            <w:r>
              <w:t xml:space="preserve">1. Estimated channel at target </w:t>
            </w:r>
            <w:r>
              <w:rPr>
                <w:rFonts w:hint="eastAsia"/>
              </w:rPr>
              <w:t xml:space="preserve">data </w:t>
            </w:r>
            <w:r>
              <w:t>REs</w:t>
            </w:r>
            <w:r>
              <w:rPr>
                <w:vertAlign w:val="superscript"/>
              </w:rPr>
              <w:t>1,3,4,5,6,8, 10</w:t>
            </w:r>
          </w:p>
          <w:p w14:paraId="6A5769EE">
            <w:pPr>
              <w:rPr>
                <w:vertAlign w:val="superscript"/>
              </w:rPr>
            </w:pPr>
            <w:r>
              <w:t>2.LLR</w:t>
            </w:r>
            <w:r>
              <w:rPr>
                <w:vertAlign w:val="superscript"/>
              </w:rPr>
              <w:t>2,3, 5,6,7,8,9,11,12</w:t>
            </w:r>
          </w:p>
          <w:p w14:paraId="3687CE3E">
            <w:pPr>
              <w:rPr>
                <w:vertAlign w:val="superscript"/>
              </w:rPr>
            </w:pPr>
            <w:r>
              <w:rPr>
                <w:rFonts w:hint="eastAsia"/>
              </w:rPr>
              <w:t>3</w:t>
            </w:r>
            <w:r>
              <w:t>.Estimated modulation symbols</w:t>
            </w:r>
            <w:r>
              <w:rPr>
                <w:vertAlign w:val="superscript"/>
              </w:rPr>
              <w:t>9</w:t>
            </w:r>
          </w:p>
          <w:p w14:paraId="12FFE0E4"/>
          <w:p w14:paraId="7D633F6D">
            <w:pPr>
              <w:rPr>
                <w:vertAlign w:val="superscript"/>
              </w:rPr>
            </w:pPr>
            <w:r>
              <w:t>For Tx side of two-sided model: superimposed signal</w:t>
            </w:r>
            <w:r>
              <w:rPr>
                <w:vertAlign w:val="superscript"/>
              </w:rPr>
              <w:t>5</w:t>
            </w:r>
          </w:p>
        </w:tc>
        <w:tc>
          <w:tcPr>
            <w:tcW w:w="1230" w:type="pct"/>
          </w:tcPr>
          <w:p w14:paraId="63852611">
            <w:r>
              <w:t>1.LLR (majority)</w:t>
            </w:r>
          </w:p>
          <w:p w14:paraId="0612428E">
            <w:pPr>
              <w:rPr>
                <w:vertAlign w:val="superscript"/>
              </w:rPr>
            </w:pPr>
            <w:r>
              <w:rPr>
                <w:rFonts w:eastAsiaTheme="minorEastAsia"/>
              </w:rPr>
              <w:t>2.Estimated channel</w:t>
            </w:r>
            <w:r>
              <w:rPr>
                <w:vertAlign w:val="superscript"/>
              </w:rPr>
              <w:t>2</w:t>
            </w:r>
          </w:p>
          <w:p w14:paraId="058FF60A">
            <w:pPr>
              <w:rPr>
                <w:vertAlign w:val="superscript"/>
              </w:rPr>
            </w:pPr>
          </w:p>
          <w:p w14:paraId="7EDE96CD">
            <w:r>
              <w:t xml:space="preserve">For Tx side of two-sided model: modulated data symbols </w:t>
            </w:r>
            <w:r>
              <w:rPr>
                <w:vertAlign w:val="superscript"/>
              </w:rPr>
              <w:t>5</w:t>
            </w:r>
            <w:r>
              <w:rPr>
                <w:rFonts w:hint="eastAsia"/>
                <w:vertAlign w:val="superscript"/>
              </w:rPr>
              <w:t>,2</w:t>
            </w:r>
            <w:r>
              <w:rPr>
                <w:vertAlign w:val="superscript"/>
              </w:rPr>
              <w:t>,1</w:t>
            </w:r>
          </w:p>
        </w:tc>
      </w:tr>
      <w:tr w14:paraId="02CB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784" w:type="pct"/>
            <w:noWrap/>
          </w:tcPr>
          <w:p w14:paraId="508197B3">
            <w:r>
              <w:t>Label</w:t>
            </w:r>
          </w:p>
        </w:tc>
        <w:tc>
          <w:tcPr>
            <w:tcW w:w="1571" w:type="pct"/>
          </w:tcPr>
          <w:p w14:paraId="16A5804D">
            <w:pPr>
              <w:rPr>
                <w:vertAlign w:val="superscript"/>
              </w:rPr>
            </w:pPr>
            <w:r>
              <w:t xml:space="preserve">1. Ideal channel information </w:t>
            </w:r>
            <w:r>
              <w:rPr>
                <w:vertAlign w:val="superscript"/>
              </w:rPr>
              <w:t>2, 4, 5,7,8,9,11,12,13,15,16,17,18,22,23,25</w:t>
            </w:r>
          </w:p>
          <w:p w14:paraId="6637CE61">
            <w:r>
              <w:t>2. Known sequence/data</w:t>
            </w:r>
            <w:r>
              <w:rPr>
                <w:vertAlign w:val="superscript"/>
              </w:rPr>
              <w:t>1,2,3,</w:t>
            </w:r>
            <w:r>
              <w:rPr>
                <w:rFonts w:hint="eastAsia" w:eastAsiaTheme="minorEastAsia"/>
                <w:vertAlign w:val="superscript"/>
              </w:rPr>
              <w:t xml:space="preserve"> </w:t>
            </w:r>
            <w:r>
              <w:rPr>
                <w:rFonts w:eastAsiaTheme="minorEastAsia"/>
                <w:vertAlign w:val="superscript"/>
              </w:rPr>
              <w:t xml:space="preserve">4,8, </w:t>
            </w:r>
            <w:r>
              <w:rPr>
                <w:rFonts w:hint="eastAsia" w:eastAsiaTheme="minorEastAsia"/>
                <w:vertAlign w:val="superscript"/>
              </w:rPr>
              <w:t xml:space="preserve">10, </w:t>
            </w:r>
            <w:r>
              <w:rPr>
                <w:vertAlign w:val="superscript"/>
              </w:rPr>
              <w:t>13,14,15,16,20,22,19,</w:t>
            </w:r>
            <w:r>
              <w:rPr>
                <w:rFonts w:hint="eastAsia" w:eastAsia="宋体"/>
                <w:vertAlign w:val="superscript"/>
              </w:rPr>
              <w:t xml:space="preserve"> 24</w:t>
            </w:r>
          </w:p>
          <w:p w14:paraId="05F5593A">
            <w:pPr>
              <w:rPr>
                <w:vertAlign w:val="superscript"/>
              </w:rPr>
            </w:pPr>
            <w:r>
              <w:t>3. L</w:t>
            </w:r>
            <w:r>
              <w:rPr>
                <w:color w:val="000000"/>
              </w:rPr>
              <w:t>abel free (unsupervised)</w:t>
            </w:r>
            <w:r>
              <w:rPr>
                <w:vertAlign w:val="superscript"/>
              </w:rPr>
              <w:t xml:space="preserve">6, 21 </w:t>
            </w:r>
          </w:p>
          <w:p w14:paraId="306CAE75">
            <w:pPr>
              <w:rPr>
                <w:vertAlign w:val="superscript"/>
              </w:rPr>
            </w:pPr>
            <w:r>
              <w:rPr>
                <w:rFonts w:hint="eastAsia"/>
              </w:rPr>
              <w:t>4</w:t>
            </w:r>
            <w:r>
              <w:t>. Estimated channel using legacy/new DMRS pattern with legacy receiver</w:t>
            </w:r>
            <w:r>
              <w:rPr>
                <w:vertAlign w:val="superscript"/>
              </w:rPr>
              <w:t>4,8,13</w:t>
            </w:r>
          </w:p>
          <w:p w14:paraId="546D94AC">
            <w:pPr>
              <w:rPr>
                <w:vertAlign w:val="superscript"/>
              </w:rPr>
            </w:pPr>
            <w:r>
              <w:t>5.  Estimated channel of adjacent RE (self-supervised)</w:t>
            </w:r>
            <w:r>
              <w:rPr>
                <w:vertAlign w:val="superscript"/>
              </w:rPr>
              <w:t>13</w:t>
            </w:r>
          </w:p>
          <w:p w14:paraId="0AED5FFB">
            <w:pPr>
              <w:rPr>
                <w:rFonts w:eastAsiaTheme="minorEastAsia"/>
              </w:rPr>
            </w:pPr>
          </w:p>
        </w:tc>
        <w:tc>
          <w:tcPr>
            <w:tcW w:w="1415" w:type="pct"/>
          </w:tcPr>
          <w:p w14:paraId="4F87DD53">
            <w:pPr>
              <w:rPr>
                <w:vertAlign w:val="superscript"/>
              </w:rPr>
            </w:pPr>
            <w:r>
              <w:t xml:space="preserve">1. </w:t>
            </w:r>
            <w:r>
              <w:rPr>
                <w:rFonts w:hint="eastAsia"/>
              </w:rPr>
              <w:t>K</w:t>
            </w:r>
            <w:r>
              <w:t xml:space="preserve">nown sequence/data </w:t>
            </w:r>
            <w:r>
              <w:rPr>
                <w:vertAlign w:val="superscript"/>
              </w:rPr>
              <w:t>2,3,11,12,7,9</w:t>
            </w:r>
          </w:p>
          <w:p w14:paraId="2A429B63">
            <w:r>
              <w:t>2. Ideal channel information</w:t>
            </w:r>
            <w:r>
              <w:rPr>
                <w:vertAlign w:val="superscript"/>
              </w:rPr>
              <w:t>1,8, 10</w:t>
            </w:r>
          </w:p>
          <w:p w14:paraId="584FDD76">
            <w:r>
              <w:rPr>
                <w:rFonts w:hint="eastAsia"/>
              </w:rPr>
              <w:t>3</w:t>
            </w:r>
            <w:r>
              <w:t>.Transmitted modulation symbols</w:t>
            </w:r>
            <w:r>
              <w:rPr>
                <w:vertAlign w:val="superscript"/>
              </w:rPr>
              <w:t>9</w:t>
            </w:r>
          </w:p>
          <w:p w14:paraId="0AEFD010">
            <w:r>
              <w:rPr>
                <w:rFonts w:hint="eastAsia" w:eastAsiaTheme="minorEastAsia"/>
              </w:rPr>
              <w:t>4. Estimated channel information using orthogonal DMRS</w:t>
            </w:r>
            <w:r>
              <w:rPr>
                <w:rFonts w:eastAsiaTheme="minorEastAsia"/>
                <w:vertAlign w:val="superscript"/>
              </w:rPr>
              <w:t>4</w:t>
            </w:r>
          </w:p>
        </w:tc>
        <w:tc>
          <w:tcPr>
            <w:tcW w:w="1230" w:type="pct"/>
          </w:tcPr>
          <w:p w14:paraId="2D0DA146">
            <w:pPr>
              <w:rPr>
                <w:vertAlign w:val="superscript"/>
              </w:rPr>
            </w:pPr>
            <w:r>
              <w:t>1. Known sequence/data</w:t>
            </w:r>
            <w:r>
              <w:rPr>
                <w:vertAlign w:val="superscript"/>
              </w:rPr>
              <w:t>1</w:t>
            </w:r>
            <w:r>
              <w:rPr>
                <w:rFonts w:hint="eastAsia" w:eastAsiaTheme="minorEastAsia"/>
                <w:vertAlign w:val="superscript"/>
              </w:rPr>
              <w:t>,</w:t>
            </w:r>
            <w:r>
              <w:rPr>
                <w:rFonts w:eastAsiaTheme="minorEastAsia"/>
                <w:vertAlign w:val="superscript"/>
              </w:rPr>
              <w:t>3</w:t>
            </w:r>
            <w:r>
              <w:rPr>
                <w:vertAlign w:val="superscript"/>
              </w:rPr>
              <w:t>-9</w:t>
            </w:r>
          </w:p>
          <w:p w14:paraId="7EF0BB64">
            <w:pPr>
              <w:rPr>
                <w:vertAlign w:val="superscript"/>
              </w:rPr>
            </w:pPr>
            <w:r>
              <w:t>2 I</w:t>
            </w:r>
            <w:r>
              <w:rPr>
                <w:rFonts w:hint="eastAsia"/>
              </w:rPr>
              <w:t xml:space="preserve">deal </w:t>
            </w:r>
            <w:r>
              <w:t>channel</w:t>
            </w:r>
            <w:r>
              <w:rPr>
                <w:rFonts w:hint="eastAsia"/>
              </w:rPr>
              <w:t xml:space="preserve"> information</w:t>
            </w:r>
            <w:r>
              <w:rPr>
                <w:vertAlign w:val="superscript"/>
              </w:rPr>
              <w:t>2</w:t>
            </w:r>
          </w:p>
          <w:p w14:paraId="7451D7AC"/>
        </w:tc>
      </w:tr>
      <w:tr w14:paraId="5A84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60A40572">
            <w:r>
              <w:t>Training types assumption</w:t>
            </w:r>
          </w:p>
        </w:tc>
        <w:tc>
          <w:tcPr>
            <w:tcW w:w="1571" w:type="pct"/>
          </w:tcPr>
          <w:p w14:paraId="0F71C32E">
            <w:r>
              <w:t>offline training</w:t>
            </w:r>
          </w:p>
          <w:p w14:paraId="1A59813F"/>
        </w:tc>
        <w:tc>
          <w:tcPr>
            <w:tcW w:w="1415" w:type="pct"/>
          </w:tcPr>
          <w:p w14:paraId="76C016F0">
            <w:r>
              <w:t>offline training</w:t>
            </w:r>
          </w:p>
          <w:p w14:paraId="423CF936"/>
        </w:tc>
        <w:tc>
          <w:tcPr>
            <w:tcW w:w="1230" w:type="pct"/>
          </w:tcPr>
          <w:p w14:paraId="3831688E">
            <w:r>
              <w:t>offline training</w:t>
            </w:r>
          </w:p>
        </w:tc>
      </w:tr>
      <w:tr w14:paraId="38F3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3740F4AD">
            <w:r>
              <w:t>KPI</w:t>
            </w:r>
          </w:p>
        </w:tc>
        <w:tc>
          <w:tcPr>
            <w:tcW w:w="1571" w:type="pct"/>
          </w:tcPr>
          <w:p w14:paraId="51F76990">
            <w:r>
              <w:t>MSE, BLER, throughput</w:t>
            </w:r>
            <w:r>
              <w:rPr>
                <w:rFonts w:hint="eastAsia" w:eastAsiaTheme="minorEastAsia"/>
              </w:rPr>
              <w:t>, BER</w:t>
            </w:r>
          </w:p>
        </w:tc>
        <w:tc>
          <w:tcPr>
            <w:tcW w:w="1415" w:type="pct"/>
          </w:tcPr>
          <w:p w14:paraId="1B99958D">
            <w:r>
              <w:t>MSE, BLER, throughput</w:t>
            </w:r>
          </w:p>
        </w:tc>
        <w:tc>
          <w:tcPr>
            <w:tcW w:w="1230" w:type="pct"/>
          </w:tcPr>
          <w:p w14:paraId="6E0B0CB3">
            <w:r>
              <w:t>MSE, BLER, throughput</w:t>
            </w:r>
          </w:p>
        </w:tc>
      </w:tr>
      <w:tr w14:paraId="66F1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61D299EC">
            <w:pPr>
              <w:rPr>
                <w:color w:val="000000"/>
              </w:rPr>
            </w:pPr>
            <w:r>
              <w:t>Benchmark</w:t>
            </w:r>
          </w:p>
        </w:tc>
        <w:tc>
          <w:tcPr>
            <w:tcW w:w="1571" w:type="pct"/>
          </w:tcPr>
          <w:p w14:paraId="6767EE37">
            <w:r>
              <w:t>With ideal channel information</w:t>
            </w:r>
          </w:p>
          <w:p w14:paraId="192A9B02">
            <w:pPr>
              <w:rPr>
                <w:rFonts w:eastAsia="Batang"/>
              </w:rPr>
            </w:pPr>
            <w:r>
              <w:t>With conventional receiver with sparse or legacy DMRS</w:t>
            </w:r>
          </w:p>
        </w:tc>
        <w:tc>
          <w:tcPr>
            <w:tcW w:w="1415" w:type="pct"/>
          </w:tcPr>
          <w:p w14:paraId="12896C34">
            <w:r>
              <w:t>With ideal channel informal</w:t>
            </w:r>
          </w:p>
          <w:p w14:paraId="3D08BD84">
            <w:r>
              <w:t>With conventional receiver with legacy DMRS overhead</w:t>
            </w:r>
          </w:p>
        </w:tc>
        <w:tc>
          <w:tcPr>
            <w:tcW w:w="1230" w:type="pct"/>
          </w:tcPr>
          <w:p w14:paraId="135B3464">
            <w:r>
              <w:t>With ideal channel information</w:t>
            </w:r>
          </w:p>
          <w:p w14:paraId="2CF5A616">
            <w:r>
              <w:t>With conventional receiver with legacy DMRS overhead</w:t>
            </w:r>
          </w:p>
        </w:tc>
      </w:tr>
      <w:tr w14:paraId="49EA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58939CF0">
            <w:r>
              <w:t>Model location for inference</w:t>
            </w:r>
          </w:p>
        </w:tc>
        <w:tc>
          <w:tcPr>
            <w:tcW w:w="1571" w:type="pct"/>
          </w:tcPr>
          <w:p w14:paraId="31F8801A">
            <w:r>
              <w:t>UE-sided model for DL or NW-sided model for UL</w:t>
            </w:r>
          </w:p>
          <w:p w14:paraId="255721EA">
            <w:pPr>
              <w:rPr>
                <w:strike/>
              </w:rPr>
            </w:pPr>
          </w:p>
        </w:tc>
        <w:tc>
          <w:tcPr>
            <w:tcW w:w="1415" w:type="pct"/>
          </w:tcPr>
          <w:p w14:paraId="1ABCD7E4">
            <w:r>
              <w:t>UE-sided model for DL</w:t>
            </w:r>
          </w:p>
          <w:p w14:paraId="59B2FD0D">
            <w:r>
              <w:t>NW-sided model for UL</w:t>
            </w:r>
          </w:p>
          <w:p w14:paraId="42A2B08B">
            <w:r>
              <w:t>Two-sided model</w:t>
            </w:r>
            <w:r>
              <w:rPr>
                <w:vertAlign w:val="superscript"/>
              </w:rPr>
              <w:t>5</w:t>
            </w:r>
          </w:p>
        </w:tc>
        <w:tc>
          <w:tcPr>
            <w:tcW w:w="1230" w:type="pct"/>
          </w:tcPr>
          <w:p w14:paraId="765B8FA5">
            <w:r>
              <w:t>NW-sided model for UL</w:t>
            </w:r>
            <w:r>
              <w:rPr>
                <w:vertAlign w:val="superscript"/>
              </w:rPr>
              <w:t>3,</w:t>
            </w:r>
            <w:r>
              <w:rPr>
                <w:color w:val="000000" w:themeColor="text1"/>
                <w:vertAlign w:val="superscript"/>
                <w14:textFill>
                  <w14:solidFill>
                    <w14:schemeClr w14:val="tx1"/>
                  </w14:solidFill>
                </w14:textFill>
              </w:rPr>
              <w:t>4,6-9</w:t>
            </w:r>
          </w:p>
          <w:p w14:paraId="31A2B443">
            <w:r>
              <w:t>Two-sided model</w:t>
            </w:r>
            <w:r>
              <w:rPr>
                <w:vertAlign w:val="superscript"/>
              </w:rPr>
              <w:t>2</w:t>
            </w:r>
            <w:r>
              <w:rPr>
                <w:color w:val="000000" w:themeColor="text1"/>
                <w:vertAlign w:val="superscript"/>
                <w14:textFill>
                  <w14:solidFill>
                    <w14:schemeClr w14:val="tx1"/>
                  </w14:solidFill>
                </w14:textFill>
              </w:rPr>
              <w:t>,5,1</w:t>
            </w:r>
          </w:p>
        </w:tc>
      </w:tr>
      <w:tr w14:paraId="09FC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784" w:type="pct"/>
            <w:noWrap/>
          </w:tcPr>
          <w:p w14:paraId="3C24DB48">
            <w:r>
              <w:t>Collaboration/interaction between UE and NW</w:t>
            </w:r>
          </w:p>
        </w:tc>
        <w:tc>
          <w:tcPr>
            <w:tcW w:w="1571" w:type="pct"/>
          </w:tcPr>
          <w:p w14:paraId="6CFD1C5D">
            <w:pPr>
              <w:rPr>
                <w:highlight w:val="yellow"/>
              </w:rPr>
            </w:pPr>
            <w:r>
              <w:rPr>
                <w:rFonts w:hint="eastAsia"/>
              </w:rPr>
              <w:t xml:space="preserve">Similar to </w:t>
            </w:r>
            <w:r>
              <w:t xml:space="preserve">UE-sided or NW-sided model </w:t>
            </w:r>
            <w:r>
              <w:rPr>
                <w:rFonts w:hint="eastAsia"/>
              </w:rPr>
              <w:t>as NR</w:t>
            </w:r>
          </w:p>
        </w:tc>
        <w:tc>
          <w:tcPr>
            <w:tcW w:w="1415" w:type="pct"/>
          </w:tcPr>
          <w:p w14:paraId="4536195D">
            <w:r>
              <w:rPr>
                <w:rFonts w:hint="eastAsia"/>
              </w:rPr>
              <w:t xml:space="preserve">Similar to </w:t>
            </w:r>
            <w:r>
              <w:t>UE-sided or NW-sided model</w:t>
            </w:r>
            <w:r>
              <w:rPr>
                <w:rFonts w:hint="eastAsia"/>
              </w:rPr>
              <w:t xml:space="preserve"> as NR</w:t>
            </w:r>
          </w:p>
          <w:p w14:paraId="4777EF1C">
            <w:pPr>
              <w:rPr>
                <w:highlight w:val="yellow"/>
              </w:rPr>
            </w:pPr>
            <w:r>
              <w:rPr>
                <w:rFonts w:hint="eastAsia"/>
              </w:rPr>
              <w:t xml:space="preserve">Similar to </w:t>
            </w:r>
            <w:r>
              <w:t xml:space="preserve">two-sided model </w:t>
            </w:r>
            <w:r>
              <w:rPr>
                <w:rFonts w:hint="eastAsia"/>
              </w:rPr>
              <w:t>as NR</w:t>
            </w:r>
          </w:p>
        </w:tc>
        <w:tc>
          <w:tcPr>
            <w:tcW w:w="1230" w:type="pct"/>
          </w:tcPr>
          <w:p w14:paraId="5F1CD558">
            <w:r>
              <w:rPr>
                <w:rFonts w:hint="eastAsia"/>
              </w:rPr>
              <w:t xml:space="preserve">Similar to </w:t>
            </w:r>
            <w:r>
              <w:t xml:space="preserve">UE-sided model </w:t>
            </w:r>
            <w:r>
              <w:rPr>
                <w:rFonts w:hint="eastAsia"/>
              </w:rPr>
              <w:t>as NR</w:t>
            </w:r>
          </w:p>
          <w:p w14:paraId="70317871">
            <w:r>
              <w:rPr>
                <w:rFonts w:hint="eastAsia"/>
              </w:rPr>
              <w:t>Similar to</w:t>
            </w:r>
            <w:r>
              <w:t xml:space="preserve"> NW-sided model </w:t>
            </w:r>
            <w:r>
              <w:rPr>
                <w:rFonts w:hint="eastAsia"/>
              </w:rPr>
              <w:t>as NR</w:t>
            </w:r>
          </w:p>
          <w:p w14:paraId="34E68156">
            <w:r>
              <w:t>S</w:t>
            </w:r>
            <w:r>
              <w:rPr>
                <w:rFonts w:hint="eastAsia"/>
              </w:rPr>
              <w:t xml:space="preserve">imilar to </w:t>
            </w:r>
            <w:r>
              <w:t>two-sided model</w:t>
            </w:r>
            <w:r>
              <w:rPr>
                <w:rFonts w:hint="eastAsia"/>
              </w:rPr>
              <w:t xml:space="preserve"> as NR</w:t>
            </w:r>
          </w:p>
        </w:tc>
      </w:tr>
      <w:tr w14:paraId="1EF3B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4" w:type="pct"/>
            <w:noWrap/>
          </w:tcPr>
          <w:p w14:paraId="37740E8C">
            <w:r>
              <w:t>Potential spec impact</w:t>
            </w:r>
          </w:p>
        </w:tc>
        <w:tc>
          <w:tcPr>
            <w:tcW w:w="1571" w:type="pct"/>
          </w:tcPr>
          <w:p w14:paraId="7A5EE7D9">
            <w:r>
              <w:t>1. DMRS design</w:t>
            </w:r>
          </w:p>
          <w:p w14:paraId="25F16B9E">
            <w:r>
              <w:t xml:space="preserve">2. RAN 4: Demod requirement </w:t>
            </w:r>
          </w:p>
          <w:p w14:paraId="39BA4293">
            <w:r>
              <w:t>3. Signalling/ procedure related to LCM for UE and/or NW sided model</w:t>
            </w:r>
          </w:p>
          <w:p w14:paraId="3998C164">
            <w:r>
              <w:rPr>
                <w:rFonts w:hint="eastAsia"/>
              </w:rPr>
              <w:t>Etc.</w:t>
            </w:r>
          </w:p>
          <w:p w14:paraId="343FF7D0"/>
        </w:tc>
        <w:tc>
          <w:tcPr>
            <w:tcW w:w="1415" w:type="pct"/>
          </w:tcPr>
          <w:p w14:paraId="1512C247">
            <w:r>
              <w:t>1. DMRS design</w:t>
            </w:r>
          </w:p>
          <w:p w14:paraId="0BB3DDDC">
            <w:r>
              <w:t>(Including power allocation between DMRS and data)</w:t>
            </w:r>
          </w:p>
          <w:p w14:paraId="0E530004">
            <w:r>
              <w:t xml:space="preserve">2. RAN 4: Demod requirement </w:t>
            </w:r>
          </w:p>
          <w:p w14:paraId="21344AAF">
            <w:r>
              <w:t>3. Signalling/ procedure related to LCM for UE and/or NW sided model or two-sided model (including inter-vendor calibration), when applicable</w:t>
            </w:r>
          </w:p>
          <w:p w14:paraId="6E21DC03">
            <w:r>
              <w:t>E</w:t>
            </w:r>
            <w:r>
              <w:rPr>
                <w:rFonts w:hint="eastAsia"/>
              </w:rPr>
              <w:t>tc.</w:t>
            </w:r>
          </w:p>
        </w:tc>
        <w:tc>
          <w:tcPr>
            <w:tcW w:w="1230" w:type="pct"/>
          </w:tcPr>
          <w:p w14:paraId="24024106">
            <w:r>
              <w:t xml:space="preserve">1. RAN 4: Demod requirement </w:t>
            </w:r>
          </w:p>
          <w:p w14:paraId="0585463F">
            <w:r>
              <w:t>2. Signalling/ procedure related to LCM for UE and/or NW sided model or two-sided model (including inter-vendor calibration), when applicable</w:t>
            </w:r>
          </w:p>
          <w:p w14:paraId="64E481CD">
            <w:r>
              <w:rPr>
                <w:rFonts w:hint="eastAsia"/>
              </w:rPr>
              <w:t xml:space="preserve">3. Constellation </w:t>
            </w:r>
            <w:r>
              <w:t>design</w:t>
            </w:r>
            <w:r>
              <w:rPr>
                <w:rFonts w:hint="eastAsia"/>
              </w:rPr>
              <w:t xml:space="preserve"> and related signalling/procedure</w:t>
            </w:r>
          </w:p>
          <w:p w14:paraId="2D54880A">
            <w:r>
              <w:rPr>
                <w:rFonts w:hint="eastAsia"/>
              </w:rPr>
              <w:t>Etc.</w:t>
            </w:r>
          </w:p>
        </w:tc>
      </w:tr>
    </w:tbl>
    <w:p w14:paraId="06C2829C">
      <w:pPr>
        <w:jc w:val="both"/>
        <w:rPr>
          <w:bCs/>
          <w:lang w:eastAsia="zh-CN"/>
        </w:rPr>
      </w:pPr>
      <w:r>
        <w:rPr>
          <w:rFonts w:hint="eastAsia"/>
          <w:bCs/>
          <w:lang w:eastAsia="zh-CN"/>
        </w:rPr>
        <w:t>Based on</w:t>
      </w:r>
      <w:r>
        <w:rPr>
          <w:bCs/>
          <w:lang w:eastAsia="zh-CN"/>
        </w:rPr>
        <w:t xml:space="preserve"> the </w:t>
      </w:r>
      <w:r>
        <w:rPr>
          <w:rFonts w:hint="eastAsia"/>
          <w:bCs/>
          <w:szCs w:val="21"/>
          <w:lang w:eastAsia="zh-CN"/>
        </w:rPr>
        <w:t>agreements</w:t>
      </w:r>
      <w:r>
        <w:rPr>
          <w:rFonts w:hint="eastAsia"/>
          <w:bCs/>
          <w:lang w:eastAsia="zh-CN"/>
        </w:rPr>
        <w:t xml:space="preserve"> </w:t>
      </w:r>
      <w:r>
        <w:rPr>
          <w:bCs/>
          <w:lang w:eastAsia="zh-CN"/>
        </w:rPr>
        <w:t xml:space="preserve">discussed above, the following proposal is </w:t>
      </w:r>
      <w:r>
        <w:rPr>
          <w:rFonts w:hint="eastAsia"/>
          <w:bCs/>
          <w:lang w:eastAsia="zh-CN"/>
        </w:rPr>
        <w:t>promoted</w:t>
      </w:r>
      <w:r>
        <w:rPr>
          <w:bCs/>
          <w:lang w:eastAsia="zh-CN"/>
        </w:rPr>
        <w:t xml:space="preserve"> for the study </w:t>
      </w:r>
      <w:r>
        <w:rPr>
          <w:rFonts w:hint="eastAsia"/>
          <w:bCs/>
          <w:lang w:eastAsia="zh-CN"/>
        </w:rPr>
        <w:t>on</w:t>
      </w:r>
      <w:r>
        <w:rPr>
          <w:bCs/>
          <w:lang w:eastAsia="zh-CN"/>
        </w:rPr>
        <w:t xml:space="preserve"> 6G</w:t>
      </w:r>
      <w:r>
        <w:rPr>
          <w:rFonts w:hint="eastAsia"/>
          <w:bCs/>
          <w:lang w:eastAsia="zh-CN"/>
        </w:rPr>
        <w:t>R</w:t>
      </w:r>
      <w:r>
        <w:rPr>
          <w:bCs/>
          <w:lang w:eastAsia="zh-CN"/>
        </w:rPr>
        <w:t xml:space="preserve"> DMRS design with AI receiver:</w:t>
      </w:r>
    </w:p>
    <w:p w14:paraId="6F194B13">
      <w:pPr>
        <w:jc w:val="both"/>
        <w:rPr>
          <w:sz w:val="22"/>
          <w:szCs w:val="22"/>
          <w:lang w:eastAsia="zh-CN"/>
        </w:rPr>
      </w:pPr>
      <w:r>
        <w:rPr>
          <w:rFonts w:eastAsia="宋体"/>
          <w:sz w:val="21"/>
          <w:szCs w:val="21"/>
        </w:rPr>
        <mc:AlternateContent>
          <mc:Choice Requires="wps">
            <w:drawing>
              <wp:inline distT="0" distB="0" distL="0" distR="0">
                <wp:extent cx="6120130" cy="2523490"/>
                <wp:effectExtent l="0" t="0" r="13970" b="10160"/>
                <wp:docPr id="100266211" name="文本框 100266211"/>
                <wp:cNvGraphicFramePr/>
                <a:graphic xmlns:a="http://schemas.openxmlformats.org/drawingml/2006/main">
                  <a:graphicData uri="http://schemas.microsoft.com/office/word/2010/wordprocessingShape">
                    <wps:wsp>
                      <wps:cNvSpPr txBox="1">
                        <a:spLocks noChangeArrowheads="1"/>
                      </wps:cNvSpPr>
                      <wps:spPr bwMode="auto">
                        <a:xfrm>
                          <a:off x="0" y="0"/>
                          <a:ext cx="6120130" cy="2523490"/>
                        </a:xfrm>
                        <a:prstGeom prst="rect">
                          <a:avLst/>
                        </a:prstGeom>
                        <a:solidFill>
                          <a:srgbClr val="FFFFFF"/>
                        </a:solidFill>
                        <a:ln w="9525">
                          <a:solidFill>
                            <a:srgbClr val="000000"/>
                          </a:solidFill>
                          <a:miter lim="800000"/>
                        </a:ln>
                      </wps:spPr>
                      <wps:txbx>
                        <w:txbxContent>
                          <w:p w14:paraId="7ECF3CF1">
                            <w:pPr>
                              <w:pStyle w:val="5"/>
                              <w:rPr>
                                <w:rFonts w:hint="default" w:ascii="Times New Roman" w:hAnsi="Times New Roman"/>
                                <w:i/>
                                <w:iCs/>
                                <w:highlight w:val="yellow"/>
                                <w:u w:val="single"/>
                              </w:rPr>
                            </w:pPr>
                            <w:r>
                              <w:rPr>
                                <w:rFonts w:hint="default" w:ascii="Times New Roman" w:hAnsi="Times New Roman"/>
                                <w:i/>
                                <w:iCs/>
                                <w:highlight w:val="yellow"/>
                                <w:u w:val="single"/>
                              </w:rPr>
                              <w:t>Proposal 2.2-2: study aspects</w:t>
                            </w:r>
                          </w:p>
                          <w:p w14:paraId="6F61D73E">
                            <w:r>
                              <w:t xml:space="preserve">For the potential study on low overhead DMRS with AI/ML receiver, at least the following aspects are to be considered: </w:t>
                            </w:r>
                          </w:p>
                          <w:p w14:paraId="178B62BB">
                            <w:pPr>
                              <w:pStyle w:val="32"/>
                              <w:numPr>
                                <w:ilvl w:val="0"/>
                                <w:numId w:val="6"/>
                              </w:numPr>
                              <w:overflowPunct/>
                              <w:autoSpaceDE/>
                              <w:autoSpaceDN/>
                              <w:adjustRightInd/>
                              <w:spacing w:after="160" w:line="259" w:lineRule="auto"/>
                              <w:textAlignment w:val="auto"/>
                              <w:rPr>
                                <w:rFonts w:ascii="Times" w:hAnsi="Times" w:cs="Times"/>
                              </w:rPr>
                            </w:pPr>
                            <w:bookmarkStart w:id="2" w:name="OLE_LINK9"/>
                            <w:r>
                              <w:rPr>
                                <w:rFonts w:ascii="Times" w:hAnsi="Times" w:cs="Times"/>
                              </w:rPr>
                              <w:t xml:space="preserve">KPIs: </w:t>
                            </w:r>
                          </w:p>
                          <w:p w14:paraId="5957677D">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Performance related: Throughput, DMRS overhead, BLER, [MSE, when applicable], PAPR (when applicable)</w:t>
                            </w:r>
                          </w:p>
                          <w:p w14:paraId="092A1229">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Receiver complexity and latency at least for UE-sided model</w:t>
                            </w:r>
                          </w:p>
                          <w:p w14:paraId="2E076A04">
                            <w:pPr>
                              <w:pStyle w:val="32"/>
                              <w:numPr>
                                <w:ilvl w:val="1"/>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Overhead for fine-tuning, when applicable.</w:t>
                            </w:r>
                          </w:p>
                          <w:p w14:paraId="6D7ADAFD">
                            <w:pPr>
                              <w:pStyle w:val="32"/>
                              <w:numPr>
                                <w:ilvl w:val="1"/>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 xml:space="preserve">Inter-vendor collaboration overhead and complexity for two-sided model, when applicable. </w:t>
                            </w:r>
                          </w:p>
                          <w:bookmarkEnd w:id="2"/>
                          <w:p w14:paraId="1D301D50">
                            <w:pPr>
                              <w:pStyle w:val="32"/>
                              <w:numPr>
                                <w:ilvl w:val="0"/>
                                <w:numId w:val="6"/>
                              </w:numPr>
                              <w:overflowPunct/>
                              <w:autoSpaceDE/>
                              <w:autoSpaceDN/>
                              <w:adjustRightInd/>
                              <w:spacing w:after="160" w:line="259" w:lineRule="auto"/>
                              <w:textAlignment w:val="auto"/>
                              <w:rPr>
                                <w:rFonts w:ascii="Times" w:hAnsi="Times" w:cs="Times"/>
                              </w:rPr>
                            </w:pPr>
                            <w:r>
                              <w:rPr>
                                <w:rFonts w:ascii="Times" w:hAnsi="Times" w:cs="Times"/>
                              </w:rPr>
                              <w:t>Other aspects for study:</w:t>
                            </w:r>
                          </w:p>
                          <w:p w14:paraId="59E15436">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Label quality impact for DMRS design with AI receiver</w:t>
                            </w:r>
                          </w:p>
                          <w:p w14:paraId="346886C4">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Performance with SU-MIMO and MU-MIMO including imperfect precoder, open loop/close loop MIMO, and coexistence with non-AI capable UEs</w:t>
                            </w:r>
                          </w:p>
                          <w:p w14:paraId="2906DD4E">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0764B37C">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Performance under non-ideal factor, at least including realistic Rnn estimation, TO, FO, phase noise, </w:t>
                            </w:r>
                            <w:r>
                              <w:rPr>
                                <w:rFonts w:eastAsiaTheme="minorEastAsia"/>
                              </w:rPr>
                              <w:t>interference</w:t>
                            </w:r>
                            <w:r>
                              <w:rPr>
                                <w:rFonts w:ascii="Times" w:hAnsi="Times" w:cs="Times"/>
                              </w:rPr>
                              <w:t>, other distortions (e.g., PA, IQ imbalance).</w:t>
                            </w:r>
                          </w:p>
                          <w:p w14:paraId="3D464DBA">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Performance with practical inter-vendor collaboration solution for two-sided model, when appliable </w:t>
                            </w:r>
                          </w:p>
                          <w:p w14:paraId="4D209C74">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Generalization</w:t>
                            </w:r>
                          </w:p>
                          <w:p w14:paraId="771EFDB5">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 xml:space="preserve">Generalization performance of AI receiver over different channels, MCS levels </w:t>
                            </w:r>
                          </w:p>
                          <w:p w14:paraId="7AF7F459">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Generalization performance of AI receiver over different non-ideal factors, if the trained model is used to overcome non-ideal factors</w:t>
                            </w:r>
                          </w:p>
                          <w:p w14:paraId="1565F43E">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(Spec impact) DMRS related design and performance impact</w:t>
                            </w:r>
                          </w:p>
                          <w:p w14:paraId="0357B662">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Time-domain and frequency-domain sparse DMRS pattern for Sub-case A</w:t>
                            </w:r>
                          </w:p>
                          <w:p w14:paraId="56FC887E">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DMRS sequence/pattern design, power allocation for Sub-case B</w:t>
                            </w:r>
                          </w:p>
                          <w:p w14:paraId="310D4123">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color w:val="FF0000"/>
                              </w:rPr>
                              <w:t xml:space="preserve">RE </w:t>
                            </w:r>
                            <w:r>
                              <w:rPr>
                                <w:rFonts w:ascii="Times" w:hAnsi="Times" w:cs="Times"/>
                              </w:rPr>
                              <w:t>mapping</w:t>
                            </w:r>
                            <w:r>
                              <w:rPr>
                                <w:rFonts w:ascii="Times" w:hAnsi="Times" w:cs="Times"/>
                                <w:color w:val="FF0000"/>
                              </w:rPr>
                              <w:t>, constellation design for Sub-case C</w:t>
                            </w:r>
                          </w:p>
                          <w:p w14:paraId="64889CC0">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(Spec impact) Whether/what signaling/procedure is needed for </w:t>
                            </w:r>
                          </w:p>
                          <w:p w14:paraId="67F26510">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 xml:space="preserve">data collection </w:t>
                            </w:r>
                          </w:p>
                          <w:p w14:paraId="591C058E">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inference</w:t>
                            </w:r>
                          </w:p>
                          <w:p w14:paraId="230E0443">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performance monitoring</w:t>
                            </w:r>
                          </w:p>
                          <w:p w14:paraId="6BC6327D">
                            <w:pPr>
                              <w:pStyle w:val="32"/>
                              <w:numPr>
                                <w:ilvl w:val="2"/>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inter-vendor collaboration</w:t>
                            </w:r>
                            <w:r>
                              <w:rPr>
                                <w:rFonts w:hint="eastAsia" w:ascii="Times" w:hAnsi="Times" w:cs="Times"/>
                                <w:highlight w:val="yellow"/>
                              </w:rPr>
                              <w:t>,</w:t>
                            </w:r>
                            <w:r>
                              <w:rPr>
                                <w:rFonts w:ascii="Times" w:hAnsi="Times" w:cs="Times"/>
                                <w:highlight w:val="yellow"/>
                              </w:rPr>
                              <w:t xml:space="preserve"> if applicable and justified</w:t>
                            </w:r>
                          </w:p>
                          <w:p w14:paraId="2D8BCF6F">
                            <w:pPr>
                              <w:pStyle w:val="32"/>
                              <w:numPr>
                                <w:ilvl w:val="2"/>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fine-tuning, if feasible and justified</w:t>
                            </w:r>
                          </w:p>
                          <w:p w14:paraId="67A1B00F">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Note: the study and analysis consider the model location (i.e., UE-sided model, NW-sided model) </w:t>
                            </w:r>
                          </w:p>
                        </w:txbxContent>
                      </wps:txbx>
                      <wps:bodyPr rot="0" vert="horz" wrap="square" lIns="91440" tIns="45720" rIns="91440" bIns="45720" anchor="t" anchorCtr="0">
                        <a:spAutoFit/>
                      </wps:bodyPr>
                    </wps:wsp>
                  </a:graphicData>
                </a:graphic>
              </wp:inline>
            </w:drawing>
          </mc:Choice>
          <mc:Fallback>
            <w:pict>
              <v:shape id="_x0000_s1026" o:spid="_x0000_s1026" o:spt="202" type="#_x0000_t202" style="height:198.7pt;width:481.9pt;" fillcolor="#FFFFFF" filled="t" stroked="t" coordsize="21600,21600" o:gfxdata="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cUg9sdYAAAAFAQAADwAAAAAAAAABACAAAAAiAAAA&#10;ZHJzL2Rvd25yZXYueG1sUEsBAhQAFAAAAAgAh07iQFdVDsVCAgAAjAQAAA4AAAAAAAAAAQAgAAAA&#10;JQEAAGRycy9lMm9Eb2MueG1sUEsFBgAAAAAGAAYAWQEAANkFAAAAAA==&#10;">
                <v:fill on="t" focussize="0,0"/>
                <v:stroke color="#000000" miterlimit="8" joinstyle="miter"/>
                <v:imagedata o:title=""/>
                <o:lock v:ext="edit" aspectratio="f"/>
                <v:textbox style="mso-fit-shape-to-text:t;">
                  <w:txbxContent>
                    <w:p w14:paraId="7ECF3CF1">
                      <w:pPr>
                        <w:pStyle w:val="5"/>
                        <w:rPr>
                          <w:rFonts w:hint="default" w:ascii="Times New Roman" w:hAnsi="Times New Roman"/>
                          <w:i/>
                          <w:iCs/>
                          <w:highlight w:val="yellow"/>
                          <w:u w:val="single"/>
                        </w:rPr>
                      </w:pPr>
                      <w:r>
                        <w:rPr>
                          <w:rFonts w:hint="default" w:ascii="Times New Roman" w:hAnsi="Times New Roman"/>
                          <w:i/>
                          <w:iCs/>
                          <w:highlight w:val="yellow"/>
                          <w:u w:val="single"/>
                        </w:rPr>
                        <w:t>Proposal 2.2-2: study aspects</w:t>
                      </w:r>
                    </w:p>
                    <w:p w14:paraId="6F61D73E">
                      <w:r>
                        <w:t xml:space="preserve">For the potential study on low overhead DMRS with AI/ML receiver, at least the following aspects are to be considered: </w:t>
                      </w:r>
                    </w:p>
                    <w:p w14:paraId="178B62BB">
                      <w:pPr>
                        <w:pStyle w:val="32"/>
                        <w:numPr>
                          <w:ilvl w:val="0"/>
                          <w:numId w:val="6"/>
                        </w:numPr>
                        <w:overflowPunct/>
                        <w:autoSpaceDE/>
                        <w:autoSpaceDN/>
                        <w:adjustRightInd/>
                        <w:spacing w:after="160" w:line="259" w:lineRule="auto"/>
                        <w:textAlignment w:val="auto"/>
                        <w:rPr>
                          <w:rFonts w:ascii="Times" w:hAnsi="Times" w:cs="Times"/>
                        </w:rPr>
                      </w:pPr>
                      <w:bookmarkStart w:id="2" w:name="OLE_LINK9"/>
                      <w:r>
                        <w:rPr>
                          <w:rFonts w:ascii="Times" w:hAnsi="Times" w:cs="Times"/>
                        </w:rPr>
                        <w:t xml:space="preserve">KPIs: </w:t>
                      </w:r>
                    </w:p>
                    <w:p w14:paraId="5957677D">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Performance related: Throughput, DMRS overhead, BLER, [MSE, when applicable], PAPR (when applicable)</w:t>
                      </w:r>
                    </w:p>
                    <w:p w14:paraId="092A1229">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Receiver complexity and latency at least for UE-sided model</w:t>
                      </w:r>
                    </w:p>
                    <w:p w14:paraId="2E076A04">
                      <w:pPr>
                        <w:pStyle w:val="32"/>
                        <w:numPr>
                          <w:ilvl w:val="1"/>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Overhead for fine-tuning, when applicable.</w:t>
                      </w:r>
                    </w:p>
                    <w:p w14:paraId="6D7ADAFD">
                      <w:pPr>
                        <w:pStyle w:val="32"/>
                        <w:numPr>
                          <w:ilvl w:val="1"/>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 xml:space="preserve">Inter-vendor collaboration overhead and complexity for two-sided model, when applicable. </w:t>
                      </w:r>
                    </w:p>
                    <w:bookmarkEnd w:id="2"/>
                    <w:p w14:paraId="1D301D50">
                      <w:pPr>
                        <w:pStyle w:val="32"/>
                        <w:numPr>
                          <w:ilvl w:val="0"/>
                          <w:numId w:val="6"/>
                        </w:numPr>
                        <w:overflowPunct/>
                        <w:autoSpaceDE/>
                        <w:autoSpaceDN/>
                        <w:adjustRightInd/>
                        <w:spacing w:after="160" w:line="259" w:lineRule="auto"/>
                        <w:textAlignment w:val="auto"/>
                        <w:rPr>
                          <w:rFonts w:ascii="Times" w:hAnsi="Times" w:cs="Times"/>
                        </w:rPr>
                      </w:pPr>
                      <w:r>
                        <w:rPr>
                          <w:rFonts w:ascii="Times" w:hAnsi="Times" w:cs="Times"/>
                        </w:rPr>
                        <w:t>Other aspects for study:</w:t>
                      </w:r>
                    </w:p>
                    <w:p w14:paraId="59E15436">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Label quality impact for DMRS design with AI receiver</w:t>
                      </w:r>
                    </w:p>
                    <w:p w14:paraId="346886C4">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Performance with SU-MIMO and MU-MIMO including imperfect precoder, open loop/close loop MIMO, and coexistence with non-AI capable UEs</w:t>
                      </w:r>
                    </w:p>
                    <w:p w14:paraId="2906DD4E">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0764B37C">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Performance under non-ideal factor, at least including realistic Rnn estimation, TO, FO, phase noise, </w:t>
                      </w:r>
                      <w:r>
                        <w:rPr>
                          <w:rFonts w:eastAsiaTheme="minorEastAsia"/>
                        </w:rPr>
                        <w:t>interference</w:t>
                      </w:r>
                      <w:r>
                        <w:rPr>
                          <w:rFonts w:ascii="Times" w:hAnsi="Times" w:cs="Times"/>
                        </w:rPr>
                        <w:t>, other distortions (e.g., PA, IQ imbalance).</w:t>
                      </w:r>
                    </w:p>
                    <w:p w14:paraId="3D464DBA">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Performance with practical inter-vendor collaboration solution for two-sided model, when appliable </w:t>
                      </w:r>
                    </w:p>
                    <w:p w14:paraId="4D209C74">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Generalization</w:t>
                      </w:r>
                    </w:p>
                    <w:p w14:paraId="771EFDB5">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 xml:space="preserve">Generalization performance of AI receiver over different channels, MCS levels </w:t>
                      </w:r>
                    </w:p>
                    <w:p w14:paraId="7AF7F459">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Generalization performance of AI receiver over different non-ideal factors, if the trained model is used to overcome non-ideal factors</w:t>
                      </w:r>
                    </w:p>
                    <w:p w14:paraId="1565F43E">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(Spec impact) DMRS related design and performance impact</w:t>
                      </w:r>
                    </w:p>
                    <w:p w14:paraId="0357B662">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Time-domain and frequency-domain sparse DMRS pattern for Sub-case A</w:t>
                      </w:r>
                    </w:p>
                    <w:p w14:paraId="56FC887E">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DMRS sequence/pattern design, power allocation for Sub-case B</w:t>
                      </w:r>
                    </w:p>
                    <w:p w14:paraId="310D4123">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color w:val="FF0000"/>
                        </w:rPr>
                        <w:t xml:space="preserve">RE </w:t>
                      </w:r>
                      <w:r>
                        <w:rPr>
                          <w:rFonts w:ascii="Times" w:hAnsi="Times" w:cs="Times"/>
                        </w:rPr>
                        <w:t>mapping</w:t>
                      </w:r>
                      <w:r>
                        <w:rPr>
                          <w:rFonts w:ascii="Times" w:hAnsi="Times" w:cs="Times"/>
                          <w:color w:val="FF0000"/>
                        </w:rPr>
                        <w:t>, constellation design for Sub-case C</w:t>
                      </w:r>
                    </w:p>
                    <w:p w14:paraId="64889CC0">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(Spec impact) Whether/what signaling/procedure is needed for </w:t>
                      </w:r>
                    </w:p>
                    <w:p w14:paraId="67F26510">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 xml:space="preserve">data collection </w:t>
                      </w:r>
                    </w:p>
                    <w:p w14:paraId="591C058E">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inference</w:t>
                      </w:r>
                    </w:p>
                    <w:p w14:paraId="230E0443">
                      <w:pPr>
                        <w:pStyle w:val="32"/>
                        <w:numPr>
                          <w:ilvl w:val="2"/>
                          <w:numId w:val="6"/>
                        </w:numPr>
                        <w:overflowPunct/>
                        <w:autoSpaceDE/>
                        <w:autoSpaceDN/>
                        <w:adjustRightInd/>
                        <w:spacing w:after="160" w:line="259" w:lineRule="auto"/>
                        <w:textAlignment w:val="auto"/>
                        <w:rPr>
                          <w:rFonts w:ascii="Times" w:hAnsi="Times" w:cs="Times"/>
                        </w:rPr>
                      </w:pPr>
                      <w:r>
                        <w:rPr>
                          <w:rFonts w:ascii="Times" w:hAnsi="Times" w:cs="Times"/>
                        </w:rPr>
                        <w:t>performance monitoring</w:t>
                      </w:r>
                    </w:p>
                    <w:p w14:paraId="6BC6327D">
                      <w:pPr>
                        <w:pStyle w:val="32"/>
                        <w:numPr>
                          <w:ilvl w:val="2"/>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inter-vendor collaboration</w:t>
                      </w:r>
                      <w:r>
                        <w:rPr>
                          <w:rFonts w:hint="eastAsia" w:ascii="Times" w:hAnsi="Times" w:cs="Times"/>
                          <w:highlight w:val="yellow"/>
                        </w:rPr>
                        <w:t>,</w:t>
                      </w:r>
                      <w:r>
                        <w:rPr>
                          <w:rFonts w:ascii="Times" w:hAnsi="Times" w:cs="Times"/>
                          <w:highlight w:val="yellow"/>
                        </w:rPr>
                        <w:t xml:space="preserve"> if applicable and justified</w:t>
                      </w:r>
                    </w:p>
                    <w:p w14:paraId="2D8BCF6F">
                      <w:pPr>
                        <w:pStyle w:val="32"/>
                        <w:numPr>
                          <w:ilvl w:val="2"/>
                          <w:numId w:val="6"/>
                        </w:numPr>
                        <w:overflowPunct/>
                        <w:autoSpaceDE/>
                        <w:autoSpaceDN/>
                        <w:adjustRightInd/>
                        <w:spacing w:after="160" w:line="259" w:lineRule="auto"/>
                        <w:textAlignment w:val="auto"/>
                        <w:rPr>
                          <w:rFonts w:ascii="Times" w:hAnsi="Times" w:cs="Times"/>
                          <w:highlight w:val="yellow"/>
                        </w:rPr>
                      </w:pPr>
                      <w:r>
                        <w:rPr>
                          <w:rFonts w:ascii="Times" w:hAnsi="Times" w:cs="Times"/>
                          <w:highlight w:val="yellow"/>
                        </w:rPr>
                        <w:t>fine-tuning, if feasible and justified</w:t>
                      </w:r>
                    </w:p>
                    <w:p w14:paraId="67A1B00F">
                      <w:pPr>
                        <w:pStyle w:val="32"/>
                        <w:numPr>
                          <w:ilvl w:val="1"/>
                          <w:numId w:val="6"/>
                        </w:numPr>
                        <w:overflowPunct/>
                        <w:autoSpaceDE/>
                        <w:autoSpaceDN/>
                        <w:adjustRightInd/>
                        <w:spacing w:after="160" w:line="259" w:lineRule="auto"/>
                        <w:textAlignment w:val="auto"/>
                        <w:rPr>
                          <w:rFonts w:ascii="Times" w:hAnsi="Times" w:cs="Times"/>
                        </w:rPr>
                      </w:pPr>
                      <w:r>
                        <w:rPr>
                          <w:rFonts w:ascii="Times" w:hAnsi="Times" w:cs="Times"/>
                        </w:rPr>
                        <w:t xml:space="preserve">Note: the study and analysis consider the model location (i.e., UE-sided model, NW-sided model) </w:t>
                      </w:r>
                    </w:p>
                  </w:txbxContent>
                </v:textbox>
                <w10:wrap type="none"/>
                <w10:anchorlock/>
              </v:shape>
            </w:pict>
          </mc:Fallback>
        </mc:AlternateContent>
      </w:r>
    </w:p>
    <w:p w14:paraId="3861FEC8">
      <w:pPr>
        <w:jc w:val="both"/>
        <w:rPr>
          <w:sz w:val="22"/>
          <w:szCs w:val="22"/>
          <w:lang w:eastAsia="zh-CN"/>
        </w:rPr>
      </w:pPr>
      <w:r>
        <w:rPr>
          <w:rFonts w:hint="eastAsia"/>
          <w:sz w:val="22"/>
          <w:szCs w:val="22"/>
          <w:lang w:eastAsia="zh-CN"/>
        </w:rPr>
        <w:t>In t</w:t>
      </w:r>
      <w:r>
        <w:rPr>
          <w:sz w:val="22"/>
          <w:szCs w:val="22"/>
          <w:lang w:eastAsia="zh-CN"/>
        </w:rPr>
        <w:t xml:space="preserve">his </w:t>
      </w:r>
      <w:r>
        <w:rPr>
          <w:rFonts w:hint="eastAsia"/>
          <w:sz w:val="22"/>
          <w:szCs w:val="22"/>
          <w:lang w:eastAsia="zh-CN"/>
        </w:rPr>
        <w:t>contribution,</w:t>
      </w:r>
      <w:r>
        <w:rPr>
          <w:sz w:val="22"/>
          <w:szCs w:val="22"/>
          <w:lang w:eastAsia="zh-CN"/>
        </w:rPr>
        <w:t xml:space="preserve"> </w:t>
      </w:r>
      <w:r>
        <w:rPr>
          <w:rFonts w:hint="eastAsia"/>
          <w:sz w:val="22"/>
          <w:szCs w:val="22"/>
          <w:lang w:eastAsia="zh-CN"/>
        </w:rPr>
        <w:t>we study</w:t>
      </w:r>
      <w:r>
        <w:rPr>
          <w:sz w:val="22"/>
          <w:szCs w:val="22"/>
          <w:lang w:eastAsia="zh-CN"/>
        </w:rPr>
        <w:t xml:space="preserve"> sparse orthogonal </w:t>
      </w:r>
      <w:r>
        <w:rPr>
          <w:rFonts w:hint="eastAsia"/>
          <w:sz w:val="22"/>
          <w:szCs w:val="22"/>
          <w:lang w:eastAsia="zh-CN"/>
        </w:rPr>
        <w:t>DMRS</w:t>
      </w:r>
      <w:r>
        <w:rPr>
          <w:sz w:val="22"/>
          <w:szCs w:val="22"/>
          <w:lang w:eastAsia="zh-CN"/>
        </w:rPr>
        <w:t xml:space="preserve"> </w:t>
      </w:r>
      <w:r>
        <w:rPr>
          <w:rFonts w:hint="eastAsia"/>
          <w:sz w:val="22"/>
          <w:szCs w:val="22"/>
          <w:lang w:eastAsia="zh-CN"/>
        </w:rPr>
        <w:t>with the</w:t>
      </w:r>
      <w:r>
        <w:rPr>
          <w:sz w:val="22"/>
          <w:szCs w:val="22"/>
          <w:lang w:eastAsia="zh-CN"/>
        </w:rPr>
        <w:t xml:space="preserve"> AI-based receiver, </w:t>
      </w:r>
      <w:r>
        <w:rPr>
          <w:rFonts w:hint="eastAsia"/>
          <w:sz w:val="22"/>
          <w:szCs w:val="22"/>
          <w:lang w:eastAsia="zh-CN"/>
        </w:rPr>
        <w:t>focusing</w:t>
      </w:r>
      <w:r>
        <w:rPr>
          <w:sz w:val="22"/>
          <w:szCs w:val="22"/>
          <w:lang w:eastAsia="zh-CN"/>
        </w:rPr>
        <w:t xml:space="preserve"> evaluating AI receiver performance and assessing </w:t>
      </w:r>
      <w:r>
        <w:rPr>
          <w:rFonts w:hint="eastAsia"/>
          <w:sz w:val="22"/>
          <w:szCs w:val="22"/>
          <w:lang w:eastAsia="zh-CN"/>
        </w:rPr>
        <w:t>its</w:t>
      </w:r>
      <w:r>
        <w:rPr>
          <w:sz w:val="22"/>
          <w:szCs w:val="22"/>
          <w:lang w:eastAsia="zh-CN"/>
        </w:rPr>
        <w:t xml:space="preserve"> potential </w:t>
      </w:r>
      <w:r>
        <w:rPr>
          <w:rFonts w:hint="eastAsia"/>
          <w:sz w:val="22"/>
          <w:szCs w:val="22"/>
          <w:lang w:eastAsia="zh-CN"/>
        </w:rPr>
        <w:t>of</w:t>
      </w:r>
      <w:r>
        <w:rPr>
          <w:sz w:val="22"/>
          <w:szCs w:val="22"/>
          <w:lang w:eastAsia="zh-CN"/>
        </w:rPr>
        <w:t xml:space="preserve"> DMRS overhead</w:t>
      </w:r>
      <w:r>
        <w:rPr>
          <w:rFonts w:hint="eastAsia"/>
          <w:sz w:val="22"/>
          <w:szCs w:val="22"/>
          <w:lang w:eastAsia="zh-CN"/>
        </w:rPr>
        <w:t xml:space="preserve"> reduction</w:t>
      </w:r>
      <w:r>
        <w:rPr>
          <w:sz w:val="22"/>
          <w:szCs w:val="22"/>
          <w:lang w:eastAsia="zh-CN"/>
        </w:rPr>
        <w:t>.</w:t>
      </w:r>
    </w:p>
    <w:p w14:paraId="22780145">
      <w:pPr>
        <w:pStyle w:val="2"/>
        <w:numPr>
          <w:ilvl w:val="0"/>
          <w:numId w:val="2"/>
        </w:numPr>
      </w:pPr>
      <w:r>
        <w:rPr>
          <w:rFonts w:hint="eastAsia"/>
          <w:lang w:eastAsia="zh-CN"/>
        </w:rPr>
        <w:t>Background</w:t>
      </w:r>
      <w:r>
        <w:t xml:space="preserve"> </w:t>
      </w:r>
    </w:p>
    <w:p w14:paraId="70D579E6">
      <w:pPr>
        <w:pStyle w:val="13"/>
        <w:spacing w:beforeAutospacing="1" w:after="0" w:afterAutospacing="1"/>
        <w:rPr>
          <w:sz w:val="20"/>
          <w:szCs w:val="20"/>
          <w:lang w:eastAsia="zh-CN"/>
        </w:rPr>
      </w:pPr>
      <w:r>
        <w:rPr>
          <w:sz w:val="20"/>
          <w:szCs w:val="20"/>
          <w:lang w:eastAsia="zh-CN"/>
        </w:rPr>
        <w:t>Accurate channel estimation is a fundamental requirement for reliable data transmission in wireless systems. In current designs, demodulation reference signals (DMRS) are typically configured according to fixed patterns in the time, frequency, and spatial domains to support channel estimation, which inevitably consumes transmission resources and introduces DMRS overhead. With the evolution toward 6G, characterized by higher carrier frequencies, wider bandwidths, and increased MIMO scale (e.g., larger antenna arrays and higher numbers of transmission layers), the associated DMRS overhead is expected to increase significantly. Excessive DMRS overhead reduces the resources available for data transmission and consequently degrades system capacity, motivating the need for more adaptive and efficient DMRS design and utilization mechanisms.</w:t>
      </w:r>
    </w:p>
    <w:p w14:paraId="48B2517C">
      <w:pPr>
        <w:pStyle w:val="13"/>
        <w:spacing w:beforeAutospacing="1" w:after="0" w:afterAutospacing="1"/>
        <w:rPr>
          <w:sz w:val="20"/>
          <w:szCs w:val="20"/>
          <w:lang w:eastAsia="zh-CN"/>
        </w:rPr>
      </w:pPr>
      <w:r>
        <w:rPr>
          <w:sz w:val="20"/>
          <w:szCs w:val="20"/>
          <w:lang w:eastAsia="zh-CN"/>
        </w:rPr>
        <w:t>Conventional channel estimation techniques, such as least squares (LS) and linear minimum mean square error (LMMSE), rely on pilot-based interpolation and extrapolation to recover the full channel response. In scenarios exhibiting high temporal or spatial channel correlation, these methods typically require dense DMRS configurations to achieve sufficient estimation accuracy, which further exacerbates the overhead issue. As a result, traditional channel estimation methods may become inefficient in diverse deployment scenarios and dynamic propagation conditions envisaged for 6G.</w:t>
      </w:r>
    </w:p>
    <w:p w14:paraId="7BECCF4B">
      <w:pPr>
        <w:pStyle w:val="13"/>
        <w:spacing w:beforeAutospacing="1" w:after="0" w:afterAutospacing="1"/>
        <w:rPr>
          <w:sz w:val="20"/>
          <w:szCs w:val="20"/>
          <w:lang w:eastAsia="zh-CN"/>
        </w:rPr>
      </w:pPr>
      <w:r>
        <w:rPr>
          <w:sz w:val="20"/>
          <w:szCs w:val="20"/>
          <w:lang w:eastAsia="zh-CN"/>
        </w:rPr>
        <w:t xml:space="preserve">Artificial intelligence and machine learning (AI/ML) techniques provide a promising means to address these challenges. By leveraging data-driven models, AI/ML-based approaches can learn channel characteristics, user mobility patterns, and network dynamics directly from observed data, thereby reducing the dependence on dense DMRS transmissions. Consequently, </w:t>
      </w:r>
      <w:r>
        <w:rPr>
          <w:b/>
          <w:bCs/>
          <w:sz w:val="20"/>
          <w:szCs w:val="20"/>
          <w:lang w:eastAsia="zh-CN"/>
        </w:rPr>
        <w:t>AI/ML</w:t>
      </w:r>
      <w:r>
        <w:rPr>
          <w:rFonts w:hint="eastAsia"/>
          <w:b/>
          <w:bCs/>
          <w:sz w:val="20"/>
          <w:szCs w:val="20"/>
          <w:lang w:eastAsia="zh-CN"/>
        </w:rPr>
        <w:t>-based methods</w:t>
      </w:r>
      <w:r>
        <w:rPr>
          <w:sz w:val="20"/>
          <w:szCs w:val="20"/>
          <w:lang w:eastAsia="zh-CN"/>
        </w:rPr>
        <w:t xml:space="preserve"> h</w:t>
      </w:r>
      <w:r>
        <w:rPr>
          <w:rFonts w:hint="eastAsia"/>
          <w:sz w:val="20"/>
          <w:szCs w:val="20"/>
          <w:lang w:eastAsia="zh-CN"/>
        </w:rPr>
        <w:t>ave</w:t>
      </w:r>
      <w:r>
        <w:rPr>
          <w:sz w:val="20"/>
          <w:szCs w:val="20"/>
          <w:lang w:eastAsia="zh-CN"/>
        </w:rPr>
        <w:t xml:space="preserve"> the potential to achieve comparable or improved performance with sparse DMRS configurations, particularly in environments with strong temporal or spatial correlation. Compared to conventional designs, AI/ML-based solutions offer enhanced adaptability and scalability, making them well aligned with the heterogeneous, highly dynamic, and performance-driven nature of future 6G networks.</w:t>
      </w:r>
    </w:p>
    <w:p w14:paraId="46D97ADD">
      <w:pPr>
        <w:pStyle w:val="13"/>
        <w:spacing w:beforeAutospacing="1" w:after="0" w:afterAutospacing="1"/>
        <w:rPr>
          <w:b/>
          <w:bCs/>
          <w:sz w:val="20"/>
          <w:szCs w:val="20"/>
          <w:lang w:eastAsia="zh-CN"/>
        </w:rPr>
      </w:pPr>
      <w:r>
        <w:rPr>
          <w:b/>
          <w:bCs/>
          <w:sz w:val="20"/>
          <w:szCs w:val="20"/>
          <w:lang w:eastAsia="zh-CN"/>
        </w:rPr>
        <w:t>Observation 1: AI/ML techniques have the potential to achieve comparable or improved performance compared to traditional channel estimation methods with sparser DMRS configurations.</w:t>
      </w:r>
    </w:p>
    <w:p w14:paraId="204B4BA0">
      <w:pPr>
        <w:pStyle w:val="2"/>
        <w:numPr>
          <w:ilvl w:val="0"/>
          <w:numId w:val="2"/>
        </w:numPr>
        <w:jc w:val="both"/>
        <w:rPr>
          <w:sz w:val="32"/>
          <w:szCs w:val="18"/>
          <w:lang w:eastAsia="zh-CN"/>
        </w:rPr>
      </w:pPr>
      <w:r>
        <w:rPr>
          <w:rFonts w:hint="eastAsia"/>
          <w:sz w:val="32"/>
          <w:szCs w:val="18"/>
          <w:lang w:eastAsia="zh-CN"/>
        </w:rPr>
        <w:t>AI Receiver</w:t>
      </w:r>
    </w:p>
    <w:p w14:paraId="03A0FCB7">
      <w:pPr>
        <w:rPr>
          <w:lang w:eastAsia="zh-CN"/>
        </w:rPr>
      </w:pPr>
      <w:r>
        <w:t xml:space="preserve">While AI techniques can be applied solely to channel estimation, this study adopts an AI receiver that </w:t>
      </w:r>
      <w:r>
        <w:rPr>
          <w:b/>
          <w:bCs/>
        </w:rPr>
        <w:t>jointly performs channel estimation, equalization, and demodulation</w:t>
      </w:r>
      <w:r>
        <w:t xml:space="preserve"> in order to fully exploit the end-to-end joint processing capability of AI. The joint model enables more effective extraction and utilization of channel and system features, allowing DMRS overhead to be reduced while maintaining system performance.</w:t>
      </w:r>
    </w:p>
    <w:p w14:paraId="520BA5D0">
      <w:pPr>
        <w:rPr>
          <w:lang w:eastAsia="zh-CN"/>
        </w:rPr>
      </w:pPr>
      <w:r>
        <w:t xml:space="preserve">Regarding DMRS design, and in consideration of compatibility with existing systems, priority should be given to </w:t>
      </w:r>
      <w:r>
        <w:rPr>
          <w:b/>
          <w:bCs/>
        </w:rPr>
        <w:t>orthogonal DMRS</w:t>
      </w:r>
      <w:r>
        <w:t xml:space="preserve"> configurations with sparse allocation in the time, frequency, or spatial domains when aiming to reduce DMRS overhead.</w:t>
      </w:r>
    </w:p>
    <w:p w14:paraId="23E4F248">
      <w:pPr>
        <w:rPr>
          <w:lang w:eastAsia="zh-CN"/>
        </w:rPr>
      </w:pPr>
      <w:r>
        <w:drawing>
          <wp:inline distT="0" distB="0" distL="0" distR="0">
            <wp:extent cx="6120130" cy="1153160"/>
            <wp:effectExtent l="0" t="0" r="0" b="8890"/>
            <wp:docPr id="1316115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115091"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0130" cy="1153160"/>
                    </a:xfrm>
                    <a:prstGeom prst="rect">
                      <a:avLst/>
                    </a:prstGeom>
                    <a:noFill/>
                    <a:ln>
                      <a:noFill/>
                    </a:ln>
                  </pic:spPr>
                </pic:pic>
              </a:graphicData>
            </a:graphic>
          </wp:inline>
        </w:drawing>
      </w:r>
    </w:p>
    <w:p w14:paraId="212F8634">
      <w:pPr>
        <w:pStyle w:val="7"/>
        <w:jc w:val="center"/>
      </w:pPr>
      <w:r>
        <w:rPr>
          <w:rFonts w:hint="eastAsia"/>
          <w:lang w:eastAsia="zh-CN"/>
        </w:rPr>
        <w:t>Figure</w:t>
      </w:r>
      <w:r>
        <w:t xml:space="preserve"> </w:t>
      </w:r>
      <w:r>
        <w:fldChar w:fldCharType="begin"/>
      </w:r>
      <w:r>
        <w:instrText xml:space="preserve"> SEQ Table \* ARABIC </w:instrText>
      </w:r>
      <w:r>
        <w:fldChar w:fldCharType="separate"/>
      </w:r>
      <w:r>
        <w:t>1</w:t>
      </w:r>
      <w:r>
        <w:fldChar w:fldCharType="end"/>
      </w:r>
      <w:r>
        <w:t xml:space="preserve">: </w:t>
      </w:r>
      <w:r>
        <w:rPr>
          <w:rFonts w:hint="eastAsia"/>
          <w:lang w:eastAsia="zh-CN"/>
        </w:rPr>
        <w:t xml:space="preserve">AI receiver with </w:t>
      </w:r>
      <w:r>
        <w:rPr>
          <w:lang w:eastAsia="zh-CN"/>
        </w:rPr>
        <w:t>orthogonal DMRS and data</w:t>
      </w:r>
    </w:p>
    <w:p w14:paraId="373C4EC2">
      <w:pPr>
        <w:rPr>
          <w:lang w:eastAsia="zh-CN"/>
        </w:rPr>
      </w:pPr>
      <w:r>
        <w:rPr>
          <w:lang w:eastAsia="zh-CN"/>
        </w:rPr>
        <w:t>The details of AI receiver</w:t>
      </w:r>
      <w:r>
        <w:rPr>
          <w:rFonts w:hint="eastAsia"/>
          <w:lang w:eastAsia="zh-CN"/>
        </w:rPr>
        <w:t xml:space="preserve"> </w:t>
      </w:r>
      <w:r>
        <w:rPr>
          <w:lang w:eastAsia="zh-CN"/>
        </w:rPr>
        <w:t>are summarized in Table 1.</w:t>
      </w:r>
    </w:p>
    <w:p w14:paraId="1FA64876">
      <w:pPr>
        <w:pStyle w:val="7"/>
        <w:jc w:val="center"/>
      </w:pPr>
      <w:bookmarkStart w:id="0" w:name="_Ref210400747"/>
      <w:r>
        <w:t xml:space="preserve">Table </w:t>
      </w:r>
      <w:r>
        <w:fldChar w:fldCharType="begin"/>
      </w:r>
      <w:r>
        <w:instrText xml:space="preserve"> SEQ Table \* ARABIC </w:instrText>
      </w:r>
      <w:r>
        <w:fldChar w:fldCharType="separate"/>
      </w:r>
      <w:r>
        <w:t>1</w:t>
      </w:r>
      <w:r>
        <w:fldChar w:fldCharType="end"/>
      </w:r>
      <w:bookmarkEnd w:id="0"/>
      <w:r>
        <w:t xml:space="preserve">: </w:t>
      </w:r>
      <w:r>
        <w:rPr>
          <w:rFonts w:hint="eastAsia"/>
          <w:lang w:eastAsia="zh-CN"/>
        </w:rPr>
        <w:t>D</w:t>
      </w:r>
      <w:r>
        <w:rPr>
          <w:lang w:eastAsia="zh-CN"/>
        </w:rPr>
        <w:t>etails of AI receiver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410"/>
        <w:gridCol w:w="7236"/>
      </w:tblGrid>
      <w:tr w14:paraId="05E406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608" w:hRule="atLeast"/>
          <w:jc w:val="center"/>
        </w:trPr>
        <w:tc>
          <w:tcPr>
            <w:tcW w:w="1410" w:type="dxa"/>
            <w:tcBorders>
              <w:top w:val="single" w:color="auto" w:sz="4" w:space="0"/>
              <w:left w:val="single" w:color="auto" w:sz="6" w:space="0"/>
              <w:bottom w:val="single" w:color="auto" w:sz="2" w:space="0"/>
            </w:tcBorders>
          </w:tcPr>
          <w:p w14:paraId="4936A47E">
            <w:pPr>
              <w:rPr>
                <w:rFonts w:ascii="CG Times (WN)" w:hAnsi="CG Times (WN)"/>
                <w:lang w:eastAsia="zh-CN"/>
              </w:rPr>
            </w:pPr>
            <w:r>
              <w:rPr>
                <w:rFonts w:ascii="CG Times (WN)" w:hAnsi="CG Times (WN)"/>
              </w:rPr>
              <w:t>Sub-use case</w:t>
            </w:r>
          </w:p>
        </w:tc>
        <w:tc>
          <w:tcPr>
            <w:tcW w:w="7236" w:type="dxa"/>
            <w:tcBorders>
              <w:top w:val="single" w:color="auto" w:sz="4" w:space="0"/>
              <w:bottom w:val="single" w:color="auto" w:sz="2" w:space="0"/>
              <w:right w:val="single" w:color="auto" w:sz="6" w:space="0"/>
            </w:tcBorders>
          </w:tcPr>
          <w:p w14:paraId="50515681">
            <w:pPr>
              <w:rPr>
                <w:rFonts w:ascii="CG Times (WN)" w:hAnsi="CG Times (WN)"/>
              </w:rPr>
            </w:pPr>
            <w:r>
              <w:rPr>
                <w:rFonts w:ascii="CG Times (WN)" w:hAnsi="CG Times (WN)"/>
              </w:rPr>
              <w:t>Sparse DMRS (</w:t>
            </w:r>
            <w:r>
              <w:rPr>
                <w:rFonts w:ascii="CG Times (WN)" w:hAnsi="CG Times (WN)"/>
                <w:lang w:eastAsia="zh-CN"/>
              </w:rPr>
              <w:t>sparse</w:t>
            </w:r>
            <w:r>
              <w:rPr>
                <w:rFonts w:ascii="CG Times (WN)" w:hAnsi="CG Times (WN)"/>
              </w:rPr>
              <w:t xml:space="preserve"> in time/frequency/spatial domain)</w:t>
            </w:r>
          </w:p>
          <w:p w14:paraId="5B707FCF">
            <w:pPr>
              <w:rPr>
                <w:rFonts w:ascii="CG Times (WN)" w:hAnsi="CG Times (WN)"/>
                <w:lang w:eastAsia="zh-CN"/>
              </w:rPr>
            </w:pPr>
            <w:r>
              <w:rPr>
                <w:rFonts w:ascii="CG Times (WN)" w:hAnsi="CG Times (WN)"/>
                <w:lang w:eastAsia="zh-CN"/>
              </w:rPr>
              <w:t>(Sub-case A, Option 4)</w:t>
            </w:r>
          </w:p>
        </w:tc>
      </w:tr>
      <w:tr w14:paraId="6D9000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2" w:space="0"/>
            </w:tcBorders>
          </w:tcPr>
          <w:p w14:paraId="17CA4453">
            <w:pPr>
              <w:rPr>
                <w:rFonts w:ascii="CG Times (WN)" w:hAnsi="CG Times (WN)"/>
              </w:rPr>
            </w:pPr>
            <w:r>
              <w:rPr>
                <w:rFonts w:ascii="CG Times (WN)" w:hAnsi="CG Times (WN)"/>
              </w:rPr>
              <w:t>Model input</w:t>
            </w:r>
          </w:p>
        </w:tc>
        <w:tc>
          <w:tcPr>
            <w:tcW w:w="7236" w:type="dxa"/>
            <w:tcBorders>
              <w:top w:val="single" w:color="auto" w:sz="2" w:space="0"/>
              <w:bottom w:val="single" w:color="auto" w:sz="2" w:space="0"/>
              <w:right w:val="single" w:color="auto" w:sz="6" w:space="0"/>
            </w:tcBorders>
          </w:tcPr>
          <w:p w14:paraId="45ABDED2">
            <w:pPr>
              <w:rPr>
                <w:rFonts w:ascii="CG Times (WN)" w:hAnsi="CG Times (WN)"/>
              </w:rPr>
            </w:pPr>
            <w:r>
              <w:rPr>
                <w:rFonts w:ascii="CG Times (WN)" w:hAnsi="CG Times (WN)"/>
              </w:rPr>
              <w:t>Received symbols on PDSCH R</w:t>
            </w:r>
            <w:r>
              <w:rPr>
                <w:rFonts w:ascii="CG Times (WN)" w:hAnsi="CG Times (WN)"/>
                <w:lang w:eastAsia="zh-CN"/>
              </w:rPr>
              <w:t>E</w:t>
            </w:r>
            <w:r>
              <w:rPr>
                <w:rFonts w:ascii="CG Times (WN)" w:hAnsi="CG Times (WN)"/>
              </w:rPr>
              <w:t>s</w:t>
            </w:r>
          </w:p>
        </w:tc>
      </w:tr>
      <w:tr w14:paraId="7E54C36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2" w:space="0"/>
            </w:tcBorders>
          </w:tcPr>
          <w:p w14:paraId="48796CCA">
            <w:pPr>
              <w:rPr>
                <w:rFonts w:ascii="CG Times (WN)" w:hAnsi="CG Times (WN)"/>
              </w:rPr>
            </w:pPr>
            <w:r>
              <w:rPr>
                <w:rFonts w:ascii="CG Times (WN)" w:hAnsi="CG Times (WN)"/>
              </w:rPr>
              <w:t>Model output</w:t>
            </w:r>
          </w:p>
        </w:tc>
        <w:tc>
          <w:tcPr>
            <w:tcW w:w="7236" w:type="dxa"/>
            <w:tcBorders>
              <w:top w:val="single" w:color="auto" w:sz="2" w:space="0"/>
              <w:bottom w:val="single" w:color="auto" w:sz="2" w:space="0"/>
              <w:right w:val="single" w:color="auto" w:sz="6" w:space="0"/>
            </w:tcBorders>
          </w:tcPr>
          <w:p w14:paraId="754F4D48">
            <w:pPr>
              <w:rPr>
                <w:rFonts w:ascii="CG Times (WN)" w:hAnsi="CG Times (WN)"/>
              </w:rPr>
            </w:pPr>
            <w:r>
              <w:rPr>
                <w:rFonts w:ascii="CG Times (WN)" w:hAnsi="CG Times (WN)"/>
              </w:rPr>
              <w:t>Soft bits (Log-likelihood ratios (LLRs))</w:t>
            </w:r>
          </w:p>
        </w:tc>
      </w:tr>
      <w:tr w14:paraId="5E981C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2" w:space="0"/>
            </w:tcBorders>
          </w:tcPr>
          <w:p w14:paraId="14DA51F8">
            <w:pPr>
              <w:rPr>
                <w:rFonts w:ascii="CG Times (WN)" w:hAnsi="CG Times (WN)"/>
              </w:rPr>
            </w:pPr>
            <w:r>
              <w:rPr>
                <w:rFonts w:ascii="CG Times (WN)" w:hAnsi="CG Times (WN)"/>
              </w:rPr>
              <w:t>Label</w:t>
            </w:r>
          </w:p>
        </w:tc>
        <w:tc>
          <w:tcPr>
            <w:tcW w:w="7236" w:type="dxa"/>
            <w:tcBorders>
              <w:top w:val="single" w:color="auto" w:sz="2" w:space="0"/>
              <w:bottom w:val="single" w:color="auto" w:sz="2" w:space="0"/>
              <w:right w:val="single" w:color="auto" w:sz="6" w:space="0"/>
            </w:tcBorders>
          </w:tcPr>
          <w:p w14:paraId="16874614">
            <w:pPr>
              <w:rPr>
                <w:rFonts w:ascii="CG Times (WN)" w:hAnsi="CG Times (WN)"/>
              </w:rPr>
            </w:pPr>
            <w:r>
              <w:rPr>
                <w:rFonts w:ascii="CG Times (WN)" w:hAnsi="CG Times (WN)"/>
              </w:rPr>
              <w:t xml:space="preserve">Ground truth of </w:t>
            </w:r>
            <w:r>
              <w:rPr>
                <w:rFonts w:hint="eastAsia" w:ascii="CG Times (WN)" w:hAnsi="CG Times (WN)"/>
                <w:lang w:eastAsia="zh-CN"/>
              </w:rPr>
              <w:t>data</w:t>
            </w:r>
            <w:r>
              <w:rPr>
                <w:rFonts w:ascii="CG Times (WN)" w:hAnsi="CG Times (WN)"/>
              </w:rPr>
              <w:t xml:space="preserve"> bits carried in the PDSCH</w:t>
            </w:r>
          </w:p>
        </w:tc>
      </w:tr>
      <w:tr w14:paraId="31567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2" w:space="0"/>
            </w:tcBorders>
            <w:vAlign w:val="center"/>
          </w:tcPr>
          <w:p w14:paraId="0C891212">
            <w:pPr>
              <w:rPr>
                <w:rFonts w:ascii="CG Times (WN)" w:hAnsi="CG Times (WN)"/>
              </w:rPr>
            </w:pPr>
            <w:r>
              <w:rPr>
                <w:rFonts w:ascii="CG Times (WN)" w:hAnsi="CG Times (WN)"/>
              </w:rPr>
              <w:t>Training type</w:t>
            </w:r>
          </w:p>
        </w:tc>
        <w:tc>
          <w:tcPr>
            <w:tcW w:w="7236" w:type="dxa"/>
            <w:tcBorders>
              <w:top w:val="single" w:color="auto" w:sz="2" w:space="0"/>
              <w:bottom w:val="single" w:color="auto" w:sz="2" w:space="0"/>
              <w:right w:val="single" w:color="auto" w:sz="6" w:space="0"/>
            </w:tcBorders>
            <w:vAlign w:val="center"/>
          </w:tcPr>
          <w:p w14:paraId="0186F44A">
            <w:pPr>
              <w:rPr>
                <w:rFonts w:ascii="CG Times (WN)" w:hAnsi="CG Times (WN)"/>
              </w:rPr>
            </w:pPr>
            <w:r>
              <w:rPr>
                <w:rFonts w:ascii="CG Times (WN)" w:hAnsi="CG Times (WN)"/>
              </w:rPr>
              <w:t>Supervised learning, offline</w:t>
            </w:r>
          </w:p>
        </w:tc>
      </w:tr>
      <w:tr w14:paraId="08190E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2" w:space="0"/>
            </w:tcBorders>
          </w:tcPr>
          <w:p w14:paraId="5CA387C8">
            <w:pPr>
              <w:rPr>
                <w:rFonts w:ascii="CG Times (WN)" w:hAnsi="CG Times (WN)"/>
              </w:rPr>
            </w:pPr>
            <w:r>
              <w:rPr>
                <w:rFonts w:ascii="CG Times (WN)" w:hAnsi="CG Times (WN)"/>
              </w:rPr>
              <w:t>KPI</w:t>
            </w:r>
          </w:p>
        </w:tc>
        <w:tc>
          <w:tcPr>
            <w:tcW w:w="7236" w:type="dxa"/>
            <w:tcBorders>
              <w:top w:val="single" w:color="auto" w:sz="2" w:space="0"/>
              <w:bottom w:val="single" w:color="auto" w:sz="2" w:space="0"/>
              <w:right w:val="single" w:color="auto" w:sz="6" w:space="0"/>
            </w:tcBorders>
          </w:tcPr>
          <w:p w14:paraId="089CF2BE">
            <w:pPr>
              <w:rPr>
                <w:rFonts w:ascii="CG Times (WN)" w:hAnsi="CG Times (WN)"/>
              </w:rPr>
            </w:pPr>
            <w:r>
              <w:rPr>
                <w:rFonts w:ascii="CG Times (WN)" w:hAnsi="CG Times (WN)"/>
              </w:rPr>
              <w:t>Block error rate (BLER), Throughput</w:t>
            </w:r>
          </w:p>
        </w:tc>
      </w:tr>
      <w:tr w14:paraId="051FCB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1410" w:type="dxa"/>
            <w:tcBorders>
              <w:top w:val="single" w:color="auto" w:sz="2" w:space="0"/>
              <w:left w:val="single" w:color="auto" w:sz="6" w:space="0"/>
              <w:bottom w:val="single" w:color="auto" w:sz="2" w:space="0"/>
            </w:tcBorders>
          </w:tcPr>
          <w:p w14:paraId="4441EC87">
            <w:pPr>
              <w:rPr>
                <w:rFonts w:ascii="CG Times (WN)" w:hAnsi="CG Times (WN)"/>
              </w:rPr>
            </w:pPr>
            <w:r>
              <w:rPr>
                <w:rFonts w:ascii="CG Times (WN)" w:hAnsi="CG Times (WN)"/>
              </w:rPr>
              <w:t>Benchmark</w:t>
            </w:r>
          </w:p>
        </w:tc>
        <w:tc>
          <w:tcPr>
            <w:tcW w:w="7236" w:type="dxa"/>
            <w:tcBorders>
              <w:top w:val="single" w:color="auto" w:sz="2" w:space="0"/>
              <w:bottom w:val="single" w:color="auto" w:sz="2" w:space="0"/>
              <w:right w:val="single" w:color="auto" w:sz="6" w:space="0"/>
            </w:tcBorders>
          </w:tcPr>
          <w:p w14:paraId="301BCD83">
            <w:pPr>
              <w:rPr>
                <w:rFonts w:ascii="CG Times (WN)" w:hAnsi="CG Times (WN)"/>
              </w:rPr>
            </w:pPr>
            <w:r>
              <w:rPr>
                <w:rFonts w:ascii="CG Times (WN)" w:hAnsi="CG Times (WN)"/>
              </w:rPr>
              <w:t>Perfect CSI: Perfect CSI + LMMSE channel equalization + demodulation</w:t>
            </w:r>
          </w:p>
          <w:p w14:paraId="35A7E598">
            <w:pPr>
              <w:rPr>
                <w:rFonts w:ascii="CG Times (WN)" w:hAnsi="CG Times (WN)"/>
              </w:rPr>
            </w:pPr>
            <w:r>
              <w:rPr>
                <w:rFonts w:ascii="CG Times (WN)" w:hAnsi="CG Times (WN)"/>
              </w:rPr>
              <w:t>LS Estimation: LS channel estimation + LMMSE channel equalization + demodulation</w:t>
            </w:r>
          </w:p>
        </w:tc>
      </w:tr>
      <w:tr w14:paraId="76248B7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1410" w:type="dxa"/>
            <w:tcBorders>
              <w:top w:val="single" w:color="auto" w:sz="2" w:space="0"/>
              <w:left w:val="single" w:color="auto" w:sz="6" w:space="0"/>
              <w:bottom w:val="single" w:color="auto" w:sz="2" w:space="0"/>
            </w:tcBorders>
            <w:vAlign w:val="center"/>
          </w:tcPr>
          <w:p w14:paraId="2FC4C6E4">
            <w:pPr>
              <w:rPr>
                <w:rFonts w:ascii="CG Times (WN)" w:hAnsi="CG Times (WN)"/>
              </w:rPr>
            </w:pPr>
            <w:r>
              <w:rPr>
                <w:rFonts w:ascii="CG Times (WN)" w:hAnsi="CG Times (WN)" w:eastAsia="宋体"/>
                <w:szCs w:val="22"/>
                <w:lang w:val="en-US" w:eastAsia="zh-CN"/>
              </w:rPr>
              <w:t>Model</w:t>
            </w:r>
            <w:r>
              <w:rPr>
                <w:rFonts w:hint="eastAsia" w:ascii="CG Times (WN)" w:hAnsi="CG Times (WN)" w:eastAsia="宋体"/>
                <w:szCs w:val="22"/>
                <w:lang w:val="en-US" w:eastAsia="zh-CN"/>
              </w:rPr>
              <w:t xml:space="preserve"> </w:t>
            </w:r>
            <w:r>
              <w:rPr>
                <w:rFonts w:ascii="CG Times (WN)" w:hAnsi="CG Times (WN)" w:eastAsia="宋体"/>
                <w:szCs w:val="22"/>
                <w:lang w:val="en-US" w:eastAsia="zh-CN"/>
              </w:rPr>
              <w:t>location</w:t>
            </w:r>
          </w:p>
        </w:tc>
        <w:tc>
          <w:tcPr>
            <w:tcW w:w="7236" w:type="dxa"/>
            <w:tcBorders>
              <w:top w:val="single" w:color="auto" w:sz="2" w:space="0"/>
              <w:bottom w:val="single" w:color="auto" w:sz="2" w:space="0"/>
              <w:right w:val="single" w:color="auto" w:sz="6" w:space="0"/>
            </w:tcBorders>
            <w:vAlign w:val="center"/>
          </w:tcPr>
          <w:p w14:paraId="2B0EE99A">
            <w:pPr>
              <w:rPr>
                <w:rFonts w:ascii="CG Times (WN)" w:hAnsi="CG Times (WN)"/>
              </w:rPr>
            </w:pPr>
            <w:r>
              <w:rPr>
                <w:rFonts w:ascii="CG Times (WN)" w:hAnsi="CG Times (WN)" w:eastAsia="宋体"/>
                <w:szCs w:val="22"/>
                <w:lang w:val="en-US" w:eastAsia="zh-CN"/>
              </w:rPr>
              <w:t xml:space="preserve">UE-sided </w:t>
            </w:r>
            <w:r>
              <w:rPr>
                <w:rFonts w:hint="eastAsia" w:ascii="CG Times (WN)" w:hAnsi="CG Times (WN)" w:eastAsia="宋体"/>
                <w:szCs w:val="22"/>
                <w:lang w:val="en-US" w:eastAsia="zh-CN"/>
              </w:rPr>
              <w:t>(</w:t>
            </w:r>
            <w:r>
              <w:rPr>
                <w:rFonts w:ascii="CG Times (WN)" w:hAnsi="CG Times (WN)" w:eastAsia="宋体"/>
                <w:szCs w:val="22"/>
                <w:lang w:val="en-US" w:eastAsia="zh-CN"/>
              </w:rPr>
              <w:t>for downlink</w:t>
            </w:r>
            <w:r>
              <w:rPr>
                <w:rFonts w:hint="eastAsia" w:ascii="CG Times (WN)" w:hAnsi="CG Times (WN)" w:eastAsia="宋体"/>
                <w:szCs w:val="22"/>
                <w:lang w:val="en-US" w:eastAsia="zh-CN"/>
              </w:rPr>
              <w:t>)</w:t>
            </w:r>
          </w:p>
        </w:tc>
      </w:tr>
      <w:tr w14:paraId="574F71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1410" w:type="dxa"/>
            <w:tcBorders>
              <w:top w:val="single" w:color="auto" w:sz="2" w:space="0"/>
              <w:left w:val="single" w:color="auto" w:sz="6" w:space="0"/>
              <w:bottom w:val="single" w:color="auto" w:sz="6" w:space="0"/>
            </w:tcBorders>
            <w:vAlign w:val="center"/>
          </w:tcPr>
          <w:p w14:paraId="7306475D">
            <w:pPr>
              <w:rPr>
                <w:rFonts w:ascii="CG Times (WN)" w:hAnsi="CG Times (WN)" w:eastAsia="宋体"/>
                <w:szCs w:val="22"/>
                <w:lang w:val="en-US" w:eastAsia="zh-CN"/>
              </w:rPr>
            </w:pPr>
            <w:r>
              <w:rPr>
                <w:rFonts w:ascii="CG Times (WN)" w:hAnsi="CG Times (WN)" w:eastAsia="宋体"/>
                <w:szCs w:val="22"/>
                <w:lang w:val="en-US" w:eastAsia="zh-CN"/>
              </w:rPr>
              <w:t>Specification impacts</w:t>
            </w:r>
          </w:p>
        </w:tc>
        <w:tc>
          <w:tcPr>
            <w:tcW w:w="7236" w:type="dxa"/>
            <w:tcBorders>
              <w:top w:val="single" w:color="auto" w:sz="2" w:space="0"/>
              <w:bottom w:val="single" w:color="auto" w:sz="6" w:space="0"/>
              <w:right w:val="single" w:color="auto" w:sz="6" w:space="0"/>
            </w:tcBorders>
            <w:vAlign w:val="center"/>
          </w:tcPr>
          <w:p w14:paraId="52ECA868">
            <w:pPr>
              <w:pStyle w:val="46"/>
              <w:numPr>
                <w:ilvl w:val="0"/>
                <w:numId w:val="7"/>
              </w:numPr>
              <w:spacing w:before="60" w:after="60"/>
              <w:ind w:left="0" w:firstLine="0"/>
              <w:rPr>
                <w:rFonts w:ascii="CG Times (WN)" w:hAnsi="CG Times (WN)" w:eastAsia="宋体"/>
                <w:sz w:val="20"/>
                <w:szCs w:val="22"/>
                <w:lang w:val="en-US"/>
              </w:rPr>
            </w:pPr>
            <w:r>
              <w:rPr>
                <w:rFonts w:ascii="CG Times (WN)" w:hAnsi="CG Times (WN)" w:eastAsia="宋体"/>
                <w:sz w:val="20"/>
                <w:szCs w:val="22"/>
                <w:lang w:val="en-US"/>
              </w:rPr>
              <w:t>LCM framework</w:t>
            </w:r>
            <w:r>
              <w:rPr>
                <w:rFonts w:hint="eastAsia" w:ascii="CG Times (WN)" w:hAnsi="CG Times (WN)" w:eastAsia="宋体"/>
                <w:sz w:val="20"/>
                <w:szCs w:val="22"/>
                <w:lang w:val="en-US"/>
              </w:rPr>
              <w:t xml:space="preserve"> </w:t>
            </w:r>
            <w:r>
              <w:rPr>
                <w:rFonts w:ascii="CG Times (WN)" w:hAnsi="CG Times (WN)" w:eastAsia="宋体"/>
                <w:sz w:val="20"/>
                <w:szCs w:val="22"/>
                <w:lang w:val="en-US"/>
              </w:rPr>
              <w:t>considerations for UE‑sided models (e.g., applicability and lifecycle handling).</w:t>
            </w:r>
          </w:p>
          <w:p w14:paraId="5C056DBA">
            <w:pPr>
              <w:pStyle w:val="46"/>
              <w:numPr>
                <w:ilvl w:val="0"/>
                <w:numId w:val="7"/>
              </w:numPr>
              <w:spacing w:before="60" w:after="60"/>
              <w:rPr>
                <w:rFonts w:ascii="CG Times (WN)" w:hAnsi="CG Times (WN)" w:eastAsia="宋体"/>
                <w:sz w:val="20"/>
                <w:szCs w:val="22"/>
                <w:lang w:val="en-US"/>
              </w:rPr>
            </w:pPr>
            <w:r>
              <w:rPr>
                <w:rFonts w:ascii="CG Times (WN)" w:hAnsi="CG Times (WN)" w:eastAsia="等线"/>
                <w:sz w:val="20"/>
                <w:szCs w:val="20"/>
                <w:lang w:val="en-US"/>
              </w:rPr>
              <w:t>MIMO and DMRS transmission schemes</w:t>
            </w:r>
          </w:p>
        </w:tc>
      </w:tr>
    </w:tbl>
    <w:p w14:paraId="1DC24226"/>
    <w:p w14:paraId="40706EF1">
      <w:pPr>
        <w:pStyle w:val="2"/>
        <w:numPr>
          <w:ilvl w:val="0"/>
          <w:numId w:val="2"/>
        </w:numPr>
        <w:jc w:val="both"/>
        <w:rPr>
          <w:sz w:val="32"/>
          <w:szCs w:val="18"/>
          <w:lang w:eastAsia="zh-CN"/>
        </w:rPr>
      </w:pPr>
      <w:r>
        <w:rPr>
          <w:sz w:val="32"/>
          <w:szCs w:val="18"/>
          <w:lang w:eastAsia="zh-CN"/>
        </w:rPr>
        <w:t>Preliminary Evaluation</w:t>
      </w:r>
    </w:p>
    <w:p w14:paraId="345CE3CD">
      <w:pPr>
        <w:rPr>
          <w:lang w:eastAsia="zh-CN"/>
        </w:rPr>
      </w:pPr>
      <w:r>
        <w:rPr>
          <w:lang w:eastAsia="zh-CN"/>
        </w:rPr>
        <w:t xml:space="preserve">Firstly, the performance of </w:t>
      </w:r>
      <w:r>
        <w:rPr>
          <w:rFonts w:hint="eastAsia"/>
          <w:lang w:eastAsia="zh-CN"/>
        </w:rPr>
        <w:t xml:space="preserve">an </w:t>
      </w:r>
      <w:r>
        <w:rPr>
          <w:lang w:eastAsia="zh-CN"/>
        </w:rPr>
        <w:t>AI receiver is compared with that of</w:t>
      </w:r>
      <w:r>
        <w:rPr>
          <w:rFonts w:hint="eastAsia"/>
          <w:lang w:eastAsia="zh-CN"/>
        </w:rPr>
        <w:t xml:space="preserve"> a</w:t>
      </w:r>
      <w:r>
        <w:rPr>
          <w:lang w:eastAsia="zh-CN"/>
        </w:rPr>
        <w:t xml:space="preserve"> conventional receiver, in which channel estimation, equalization, and demodulation are performed as separate processing blocks, under the same configuration to demonstrate the potential performance improvement of</w:t>
      </w:r>
      <w:r>
        <w:rPr>
          <w:rFonts w:hint="eastAsia"/>
          <w:lang w:eastAsia="zh-CN"/>
        </w:rPr>
        <w:t xml:space="preserve"> the</w:t>
      </w:r>
      <w:r>
        <w:rPr>
          <w:lang w:eastAsia="zh-CN"/>
        </w:rPr>
        <w:t xml:space="preserve"> AI receiver.</w:t>
      </w:r>
    </w:p>
    <w:p w14:paraId="6A9BF78D">
      <w:pPr>
        <w:rPr>
          <w:lang w:eastAsia="zh-CN"/>
        </w:rPr>
      </w:pPr>
      <w:r>
        <w:rPr>
          <w:lang w:eastAsia="zh-CN"/>
        </w:rPr>
        <w:t>The link</w:t>
      </w:r>
      <w:r>
        <w:rPr>
          <w:rFonts w:hint="eastAsia"/>
          <w:lang w:eastAsia="zh-CN"/>
        </w:rPr>
        <w:t>-</w:t>
      </w:r>
      <w:r>
        <w:rPr>
          <w:lang w:eastAsia="zh-CN"/>
        </w:rPr>
        <w:t>level simulation</w:t>
      </w:r>
      <w:r>
        <w:rPr>
          <w:rFonts w:hint="eastAsia"/>
          <w:lang w:eastAsia="zh-CN"/>
        </w:rPr>
        <w:t xml:space="preserve"> </w:t>
      </w:r>
      <w:r>
        <w:rPr>
          <w:lang w:eastAsia="zh-CN"/>
        </w:rPr>
        <w:t>configuration</w:t>
      </w:r>
      <w:r>
        <w:rPr>
          <w:rFonts w:hint="eastAsia"/>
          <w:lang w:eastAsia="zh-CN"/>
        </w:rPr>
        <w:t>s</w:t>
      </w:r>
      <w:r>
        <w:rPr>
          <w:lang w:eastAsia="zh-CN"/>
        </w:rPr>
        <w:t xml:space="preserve"> </w:t>
      </w:r>
      <w:r>
        <w:rPr>
          <w:rFonts w:hint="eastAsia"/>
          <w:lang w:eastAsia="zh-CN"/>
        </w:rPr>
        <w:t>are</w:t>
      </w:r>
      <w:r>
        <w:rPr>
          <w:lang w:eastAsia="zh-CN"/>
        </w:rPr>
        <w:t xml:space="preserve"> shown in Table 2</w:t>
      </w:r>
      <w:r>
        <w:rPr>
          <w:rFonts w:hint="eastAsia"/>
          <w:lang w:eastAsia="zh-CN"/>
        </w:rPr>
        <w:t>.</w:t>
      </w:r>
    </w:p>
    <w:p w14:paraId="7C74D262">
      <w:pPr>
        <w:rPr>
          <w:lang w:eastAsia="zh-CN"/>
        </w:rPr>
      </w:pPr>
      <w:r>
        <w:rPr>
          <w:lang w:eastAsia="zh-CN"/>
        </w:rPr>
        <w:t>We compared the performance of the AI</w:t>
      </w:r>
      <w:r>
        <w:rPr>
          <w:rFonts w:hint="eastAsia"/>
          <w:lang w:eastAsia="zh-CN"/>
        </w:rPr>
        <w:t xml:space="preserve"> </w:t>
      </w:r>
      <w:r>
        <w:rPr>
          <w:lang w:eastAsia="zh-CN"/>
        </w:rPr>
        <w:t>receiver with conventional methods under different modulation orders and user mobility speeds.</w:t>
      </w:r>
    </w:p>
    <w:p w14:paraId="28B7E49A">
      <w:pPr>
        <w:rPr>
          <w:lang w:val="en-US" w:eastAsia="zh-CN"/>
        </w:rPr>
      </w:pPr>
      <w:r>
        <w:rPr>
          <w:lang w:val="en-US" w:eastAsia="zh-CN"/>
        </w:rPr>
        <w:t xml:space="preserve">Figure </w:t>
      </w:r>
      <w:r>
        <w:rPr>
          <w:rFonts w:hint="eastAsia"/>
          <w:lang w:val="en-US" w:eastAsia="zh-CN"/>
        </w:rPr>
        <w:t>2</w:t>
      </w:r>
      <w:r>
        <w:rPr>
          <w:lang w:val="en-US" w:eastAsia="zh-CN"/>
        </w:rPr>
        <w:t xml:space="preserve"> plots BLER versus Eb/No for three modulation schemes (QPSK, 16QAM and 64QAM) and UE speed of 10 m/s.</w:t>
      </w:r>
      <w:r>
        <w:t xml:space="preserve"> </w:t>
      </w:r>
      <w:r>
        <w:rPr>
          <w:lang w:val="en-US" w:eastAsia="zh-CN"/>
        </w:rPr>
        <w:t xml:space="preserve">It can be observed that the performance curves of the </w:t>
      </w:r>
      <w:r>
        <w:rPr>
          <w:rFonts w:hint="eastAsia"/>
          <w:lang w:val="en-US" w:eastAsia="zh-CN"/>
        </w:rPr>
        <w:t xml:space="preserve">AI </w:t>
      </w:r>
      <w:r>
        <w:rPr>
          <w:lang w:val="en-US" w:eastAsia="zh-CN"/>
        </w:rPr>
        <w:t xml:space="preserve">receiver under the three modulation orders closely approach the perfect-CSI curve, achieving a gain of </w:t>
      </w:r>
      <w:r>
        <w:rPr>
          <w:b/>
          <w:bCs/>
          <w:lang w:val="en-US" w:eastAsia="zh-CN"/>
        </w:rPr>
        <w:t>4–5 dB</w:t>
      </w:r>
      <w:r>
        <w:rPr>
          <w:lang w:val="en-US" w:eastAsia="zh-CN"/>
        </w:rPr>
        <w:t xml:space="preserve"> over the LS receiver at a BLER of 0.01.</w:t>
      </w:r>
    </w:p>
    <w:p w14:paraId="31C9AA1C">
      <w:pPr>
        <w:rPr>
          <w:lang w:val="en-US" w:eastAsia="zh-CN"/>
        </w:rPr>
      </w:pPr>
      <w:r>
        <w:rPr>
          <w:lang w:val="en-US" w:eastAsia="zh-CN"/>
        </w:rPr>
        <w:t xml:space="preserve">Figure </w:t>
      </w:r>
      <w:r>
        <w:rPr>
          <w:rFonts w:hint="eastAsia"/>
          <w:lang w:val="en-US" w:eastAsia="zh-CN"/>
        </w:rPr>
        <w:t>3</w:t>
      </w:r>
      <w:r>
        <w:rPr>
          <w:lang w:val="en-US" w:eastAsia="zh-CN"/>
        </w:rPr>
        <w:t xml:space="preserve"> plots BLER versus Eb/No across three UE speeds (10 m/s, 50 m/s, and 100 m/s) and 16QAM.</w:t>
      </w:r>
    </w:p>
    <w:p w14:paraId="208FB690">
      <w:pPr>
        <w:pStyle w:val="32"/>
        <w:numPr>
          <w:ilvl w:val="0"/>
          <w:numId w:val="8"/>
        </w:numPr>
        <w:rPr>
          <w:lang w:val="en-US" w:eastAsia="zh-CN"/>
        </w:rPr>
      </w:pPr>
      <w:r>
        <w:rPr>
          <w:lang w:val="en-US" w:eastAsia="zh-CN"/>
        </w:rPr>
        <w:t xml:space="preserve">The perfect-CSI curves at the three speeds are nearly identical, as the perfect-CSI baseline assumes fully accurate channel state information, whereas the accuracy of CSI estimation is affected by user mobility. </w:t>
      </w:r>
    </w:p>
    <w:p w14:paraId="445B633E">
      <w:pPr>
        <w:pStyle w:val="32"/>
        <w:numPr>
          <w:ilvl w:val="0"/>
          <w:numId w:val="8"/>
        </w:numPr>
        <w:rPr>
          <w:lang w:val="en-US" w:eastAsia="zh-CN"/>
        </w:rPr>
      </w:pPr>
      <w:r>
        <w:rPr>
          <w:lang w:val="en-US" w:eastAsia="zh-CN"/>
        </w:rPr>
        <w:t>As the speed increases, the curves of</w:t>
      </w:r>
      <w:r>
        <w:rPr>
          <w:rFonts w:hint="eastAsia"/>
          <w:lang w:val="en-US" w:eastAsia="zh-CN"/>
        </w:rPr>
        <w:t xml:space="preserve"> the</w:t>
      </w:r>
      <w:r>
        <w:rPr>
          <w:lang w:val="en-US" w:eastAsia="zh-CN"/>
        </w:rPr>
        <w:t xml:space="preserve"> </w:t>
      </w:r>
      <w:r>
        <w:rPr>
          <w:rFonts w:hint="eastAsia"/>
          <w:lang w:val="en-US" w:eastAsia="zh-CN"/>
        </w:rPr>
        <w:t>LS</w:t>
      </w:r>
      <w:r>
        <w:rPr>
          <w:lang w:val="en-US" w:eastAsia="zh-CN"/>
        </w:rPr>
        <w:t xml:space="preserve"> receiver shift progressively to the right, and a performance floor is observed when the speed reaches 100 m/s. This behavior arises because the channel changes rapidly at high speeds, resulting in a substantial mismatch between the channel at the beginning and the end of a time slot. Using the channel at the beginning of the time slot to infer the channel at the end introduces significant estimation errors.</w:t>
      </w:r>
    </w:p>
    <w:p w14:paraId="00FB0C75">
      <w:pPr>
        <w:pStyle w:val="32"/>
        <w:numPr>
          <w:ilvl w:val="0"/>
          <w:numId w:val="8"/>
        </w:numPr>
        <w:rPr>
          <w:lang w:val="en-US" w:eastAsia="zh-CN"/>
        </w:rPr>
      </w:pPr>
      <w:r>
        <w:rPr>
          <w:lang w:val="en-US" w:eastAsia="zh-CN"/>
        </w:rPr>
        <w:t xml:space="preserve">In contrast, the curves of the AI receiver at all three speeds closely track the perfect-CSI curve, indicating that the </w:t>
      </w:r>
      <w:r>
        <w:rPr>
          <w:rFonts w:hint="eastAsia"/>
          <w:lang w:val="en-US" w:eastAsia="zh-CN"/>
        </w:rPr>
        <w:t xml:space="preserve">AI </w:t>
      </w:r>
      <w:r>
        <w:rPr>
          <w:lang w:val="en-US" w:eastAsia="zh-CN"/>
        </w:rPr>
        <w:t>receiver can learn and compensate for rapid channel variations and maintain robust system performance even in fast-fading scenarios.</w:t>
      </w:r>
    </w:p>
    <w:p w14:paraId="3A198A32">
      <w:pPr>
        <w:pStyle w:val="7"/>
        <w:jc w:val="center"/>
        <w:rPr>
          <w:lang w:eastAsia="zh-CN"/>
        </w:rPr>
      </w:pPr>
      <w:r>
        <w:t xml:space="preserve">Table </w:t>
      </w:r>
      <w:r>
        <w:rPr>
          <w:rFonts w:hint="eastAsia"/>
        </w:rPr>
        <w:t>2: L</w:t>
      </w:r>
      <w:r>
        <w:t>ink</w:t>
      </w:r>
      <w:r>
        <w:rPr>
          <w:rFonts w:hint="eastAsia"/>
        </w:rPr>
        <w:t>-</w:t>
      </w:r>
      <w:r>
        <w:t xml:space="preserve">level </w:t>
      </w:r>
      <w:r>
        <w:rPr>
          <w:rFonts w:hint="eastAsia"/>
          <w:lang w:eastAsia="zh-CN"/>
        </w:rPr>
        <w:t>S</w:t>
      </w:r>
      <w:r>
        <w:t>imulation</w:t>
      </w:r>
      <w:r>
        <w:rPr>
          <w:rFonts w:hint="eastAsia"/>
          <w:lang w:eastAsia="zh-CN"/>
        </w:rPr>
        <w:t xml:space="preserve"> C</w:t>
      </w:r>
      <w:r>
        <w:t>onfiguration</w:t>
      </w:r>
      <w:r>
        <w:rPr>
          <w:rFonts w:hint="eastAsia"/>
          <w:lang w:eastAsia="zh-CN"/>
        </w:rPr>
        <w:t>s</w:t>
      </w:r>
    </w:p>
    <w:tbl>
      <w:tblPr>
        <w:tblStyle w:val="16"/>
        <w:tblW w:w="8627"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3394"/>
        <w:gridCol w:w="5233"/>
      </w:tblGrid>
      <w:tr w14:paraId="222872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auto" w:sz="6" w:space="0"/>
              <w:left w:val="single" w:color="auto" w:sz="6" w:space="0"/>
              <w:bottom w:val="single" w:color="auto" w:sz="2" w:space="0"/>
            </w:tcBorders>
          </w:tcPr>
          <w:p w14:paraId="00D761A8">
            <w:pPr>
              <w:rPr>
                <w:rFonts w:ascii="CG Times (WN)" w:hAnsi="CG Times (WN)"/>
              </w:rPr>
            </w:pPr>
            <w:r>
              <w:rPr>
                <w:rFonts w:ascii="CG Times (WN)" w:hAnsi="CG Times (WN)"/>
              </w:rPr>
              <w:t>Parameters</w:t>
            </w:r>
          </w:p>
        </w:tc>
        <w:tc>
          <w:tcPr>
            <w:tcW w:w="5233" w:type="dxa"/>
            <w:tcBorders>
              <w:top w:val="single" w:color="auto" w:sz="6" w:space="0"/>
              <w:bottom w:val="single" w:color="auto" w:sz="2" w:space="0"/>
              <w:right w:val="single" w:color="auto" w:sz="6" w:space="0"/>
            </w:tcBorders>
          </w:tcPr>
          <w:p w14:paraId="61CA1F87">
            <w:pPr>
              <w:rPr>
                <w:rFonts w:ascii="CG Times (WN)" w:hAnsi="CG Times (WN)"/>
              </w:rPr>
            </w:pPr>
            <w:r>
              <w:rPr>
                <w:rFonts w:ascii="CG Times (WN)" w:hAnsi="CG Times (WN)"/>
              </w:rPr>
              <w:t>Value</w:t>
            </w:r>
          </w:p>
        </w:tc>
      </w:tr>
      <w:tr w14:paraId="0481B4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04B9E876">
            <w:pPr>
              <w:rPr>
                <w:rFonts w:ascii="CG Times (WN)" w:hAnsi="CG Times (WN)"/>
              </w:rPr>
            </w:pPr>
            <w:r>
              <w:rPr>
                <w:rFonts w:ascii="CG Times (WN)" w:hAnsi="CG Times (WN)"/>
              </w:rPr>
              <w:t>Central frequency</w:t>
            </w:r>
          </w:p>
        </w:tc>
        <w:tc>
          <w:tcPr>
            <w:tcW w:w="5233" w:type="dxa"/>
            <w:tcBorders>
              <w:top w:val="single" w:color="000000" w:sz="2" w:space="0"/>
              <w:left w:val="single" w:color="000000" w:sz="2" w:space="0"/>
              <w:bottom w:val="single" w:color="000000" w:sz="2" w:space="0"/>
              <w:right w:val="single" w:color="auto" w:sz="6" w:space="0"/>
            </w:tcBorders>
          </w:tcPr>
          <w:p w14:paraId="6B17A0D3">
            <w:pPr>
              <w:rPr>
                <w:rFonts w:ascii="CG Times (WN)" w:hAnsi="CG Times (WN)"/>
              </w:rPr>
            </w:pPr>
            <w:r>
              <w:rPr>
                <w:rFonts w:ascii="CG Times (WN)" w:hAnsi="CG Times (WN)"/>
              </w:rPr>
              <w:t>4GHz</w:t>
            </w:r>
          </w:p>
        </w:tc>
      </w:tr>
      <w:tr w14:paraId="6FAB5A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7EE5BBED">
            <w:pPr>
              <w:rPr>
                <w:rFonts w:ascii="CG Times (WN)" w:hAnsi="CG Times (WN)"/>
              </w:rPr>
            </w:pPr>
            <w:r>
              <w:rPr>
                <w:rFonts w:ascii="CG Times (WN)" w:hAnsi="CG Times (WN)"/>
              </w:rPr>
              <w:t>Subcarrier spacing</w:t>
            </w:r>
          </w:p>
        </w:tc>
        <w:tc>
          <w:tcPr>
            <w:tcW w:w="5233" w:type="dxa"/>
            <w:tcBorders>
              <w:top w:val="single" w:color="000000" w:sz="2" w:space="0"/>
              <w:left w:val="single" w:color="000000" w:sz="2" w:space="0"/>
              <w:bottom w:val="single" w:color="000000" w:sz="2" w:space="0"/>
              <w:right w:val="single" w:color="auto" w:sz="6" w:space="0"/>
            </w:tcBorders>
          </w:tcPr>
          <w:p w14:paraId="4E676570">
            <w:pPr>
              <w:rPr>
                <w:rFonts w:ascii="CG Times (WN)" w:hAnsi="CG Times (WN)"/>
              </w:rPr>
            </w:pPr>
            <w:r>
              <w:rPr>
                <w:rFonts w:ascii="CG Times (WN)" w:hAnsi="CG Times (WN)"/>
              </w:rPr>
              <w:t>30kHz</w:t>
            </w:r>
          </w:p>
        </w:tc>
      </w:tr>
      <w:tr w14:paraId="46B028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1BC4274D">
            <w:pPr>
              <w:rPr>
                <w:rFonts w:ascii="CG Times (WN)" w:hAnsi="CG Times (WN)"/>
              </w:rPr>
            </w:pPr>
            <w:r>
              <w:rPr>
                <w:rFonts w:ascii="CG Times (WN)" w:hAnsi="CG Times (WN)"/>
              </w:rPr>
              <w:t>Bandwidth</w:t>
            </w:r>
          </w:p>
        </w:tc>
        <w:tc>
          <w:tcPr>
            <w:tcW w:w="5233" w:type="dxa"/>
            <w:tcBorders>
              <w:top w:val="single" w:color="000000" w:sz="2" w:space="0"/>
              <w:left w:val="single" w:color="000000" w:sz="2" w:space="0"/>
              <w:bottom w:val="single" w:color="000000" w:sz="2" w:space="0"/>
              <w:right w:val="single" w:color="auto" w:sz="6" w:space="0"/>
            </w:tcBorders>
          </w:tcPr>
          <w:p w14:paraId="4F248286">
            <w:pPr>
              <w:rPr>
                <w:rFonts w:ascii="CG Times (WN)" w:hAnsi="CG Times (WN)"/>
              </w:rPr>
            </w:pPr>
            <w:r>
              <w:rPr>
                <w:rFonts w:hint="eastAsia" w:ascii="CG Times (WN)" w:hAnsi="CG Times (WN)"/>
              </w:rPr>
              <w:t>1RB</w:t>
            </w:r>
          </w:p>
        </w:tc>
      </w:tr>
      <w:tr w14:paraId="75989D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6F0C681D">
            <w:pPr>
              <w:rPr>
                <w:rFonts w:ascii="CG Times (WN)" w:hAnsi="CG Times (WN)"/>
              </w:rPr>
            </w:pPr>
            <w:r>
              <w:rPr>
                <w:rFonts w:ascii="CG Times (WN)" w:hAnsi="CG Times (WN)"/>
              </w:rPr>
              <w:t>Modulation Order</w:t>
            </w:r>
          </w:p>
        </w:tc>
        <w:tc>
          <w:tcPr>
            <w:tcW w:w="5233" w:type="dxa"/>
            <w:tcBorders>
              <w:top w:val="single" w:color="000000" w:sz="2" w:space="0"/>
              <w:left w:val="single" w:color="000000" w:sz="2" w:space="0"/>
              <w:bottom w:val="single" w:color="000000" w:sz="2" w:space="0"/>
              <w:right w:val="single" w:color="auto" w:sz="6" w:space="0"/>
            </w:tcBorders>
          </w:tcPr>
          <w:p w14:paraId="4A032469">
            <w:pPr>
              <w:rPr>
                <w:rFonts w:ascii="CG Times (WN)" w:hAnsi="CG Times (WN)"/>
              </w:rPr>
            </w:pPr>
            <w:r>
              <w:rPr>
                <w:rFonts w:ascii="CG Times (WN)" w:hAnsi="CG Times (WN)"/>
              </w:rPr>
              <w:t>2(QPSK)</w:t>
            </w:r>
            <w:r>
              <w:rPr>
                <w:rFonts w:hint="eastAsia" w:ascii="CG Times (WN)" w:hAnsi="CG Times (WN)"/>
              </w:rPr>
              <w:t>, 4(16QAM), 6(64QAM)</w:t>
            </w:r>
          </w:p>
        </w:tc>
      </w:tr>
      <w:tr w14:paraId="41FD0CE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7AF20EE8">
            <w:pPr>
              <w:rPr>
                <w:rFonts w:ascii="CG Times (WN)" w:hAnsi="CG Times (WN)"/>
              </w:rPr>
            </w:pPr>
            <w:r>
              <w:rPr>
                <w:rFonts w:ascii="CG Times (WN)" w:hAnsi="CG Times (WN)"/>
              </w:rPr>
              <w:t xml:space="preserve">DMRS </w:t>
            </w:r>
            <w:r>
              <w:rPr>
                <w:rFonts w:hint="eastAsia" w:ascii="CG Times (WN)" w:hAnsi="CG Times (WN)"/>
              </w:rPr>
              <w:t>C</w:t>
            </w:r>
            <w:r>
              <w:rPr>
                <w:rFonts w:ascii="CG Times (WN)" w:hAnsi="CG Times (WN)"/>
              </w:rPr>
              <w:t>onfigurations</w:t>
            </w:r>
          </w:p>
        </w:tc>
        <w:tc>
          <w:tcPr>
            <w:tcW w:w="5233" w:type="dxa"/>
            <w:tcBorders>
              <w:top w:val="single" w:color="000000" w:sz="2" w:space="0"/>
              <w:left w:val="single" w:color="000000" w:sz="2" w:space="0"/>
              <w:bottom w:val="single" w:color="000000" w:sz="2" w:space="0"/>
              <w:right w:val="single" w:color="auto" w:sz="6" w:space="0"/>
            </w:tcBorders>
          </w:tcPr>
          <w:p w14:paraId="3332E161">
            <w:pPr>
              <w:rPr>
                <w:rFonts w:ascii="CG Times (WN)" w:hAnsi="CG Times (WN)"/>
              </w:rPr>
            </w:pPr>
            <w:r>
              <w:rPr>
                <w:rFonts w:ascii="CG Times (WN)" w:hAnsi="CG Times (WN)"/>
              </w:rPr>
              <w:t>Type 1, single symbol with</w:t>
            </w:r>
            <w:r>
              <w:rPr>
                <w:rFonts w:hint="eastAsia" w:ascii="CG Times (WN)" w:hAnsi="CG Times (WN)"/>
              </w:rPr>
              <w:t>out</w:t>
            </w:r>
            <w:r>
              <w:rPr>
                <w:rFonts w:ascii="CG Times (WN)" w:hAnsi="CG Times (WN)"/>
              </w:rPr>
              <w:t xml:space="preserve"> additional </w:t>
            </w:r>
            <w:r>
              <w:rPr>
                <w:rFonts w:hint="eastAsia" w:ascii="CG Times (WN)" w:hAnsi="CG Times (WN)"/>
              </w:rPr>
              <w:t>DMRS symbol</w:t>
            </w:r>
          </w:p>
        </w:tc>
      </w:tr>
      <w:tr w14:paraId="755A48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23E4920C">
            <w:pPr>
              <w:rPr>
                <w:rFonts w:ascii="CG Times (WN)" w:hAnsi="CG Times (WN)"/>
              </w:rPr>
            </w:pPr>
            <w:r>
              <w:rPr>
                <w:rFonts w:ascii="CG Times (WN)" w:hAnsi="CG Times (WN)"/>
              </w:rPr>
              <w:t>Target Coderate</w:t>
            </w:r>
          </w:p>
        </w:tc>
        <w:tc>
          <w:tcPr>
            <w:tcW w:w="5233" w:type="dxa"/>
            <w:tcBorders>
              <w:top w:val="single" w:color="000000" w:sz="2" w:space="0"/>
              <w:left w:val="single" w:color="000000" w:sz="2" w:space="0"/>
              <w:bottom w:val="single" w:color="000000" w:sz="2" w:space="0"/>
              <w:right w:val="single" w:color="auto" w:sz="6" w:space="0"/>
            </w:tcBorders>
          </w:tcPr>
          <w:p w14:paraId="12C39C92">
            <w:pPr>
              <w:rPr>
                <w:rFonts w:ascii="CG Times (WN)" w:hAnsi="CG Times (WN)"/>
              </w:rPr>
            </w:pPr>
            <w:r>
              <w:rPr>
                <w:rFonts w:hint="eastAsia" w:ascii="CG Times (WN)" w:hAnsi="CG Times (WN)"/>
              </w:rPr>
              <w:t>0.5</w:t>
            </w:r>
          </w:p>
        </w:tc>
      </w:tr>
      <w:tr w14:paraId="4D4222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238C2C91">
            <w:pPr>
              <w:rPr>
                <w:rFonts w:ascii="CG Times (WN)" w:hAnsi="CG Times (WN)"/>
              </w:rPr>
            </w:pPr>
            <w:r>
              <w:rPr>
                <w:rFonts w:ascii="CG Times (WN)" w:hAnsi="CG Times (WN)"/>
              </w:rPr>
              <w:t>Precoding</w:t>
            </w:r>
          </w:p>
        </w:tc>
        <w:tc>
          <w:tcPr>
            <w:tcW w:w="5233" w:type="dxa"/>
            <w:tcBorders>
              <w:top w:val="single" w:color="000000" w:sz="2" w:space="0"/>
              <w:left w:val="single" w:color="000000" w:sz="2" w:space="0"/>
              <w:bottom w:val="single" w:color="000000" w:sz="2" w:space="0"/>
              <w:right w:val="single" w:color="auto" w:sz="6" w:space="0"/>
            </w:tcBorders>
          </w:tcPr>
          <w:p w14:paraId="53966F8C">
            <w:pPr>
              <w:rPr>
                <w:rFonts w:ascii="CG Times (WN)" w:hAnsi="CG Times (WN)"/>
              </w:rPr>
            </w:pPr>
            <w:r>
              <w:rPr>
                <w:rFonts w:ascii="CG Times (WN)" w:hAnsi="CG Times (WN)"/>
              </w:rPr>
              <w:t>RZF precoding with ideal CSI feedback</w:t>
            </w:r>
          </w:p>
        </w:tc>
      </w:tr>
      <w:tr w14:paraId="40733C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7D33789F">
            <w:pPr>
              <w:rPr>
                <w:rFonts w:ascii="CG Times (WN)" w:hAnsi="CG Times (WN)"/>
              </w:rPr>
            </w:pPr>
            <w:r>
              <w:rPr>
                <w:rFonts w:ascii="CG Times (WN)" w:hAnsi="CG Times (WN)"/>
              </w:rPr>
              <w:t>Antenna setup and port layouts at BS</w:t>
            </w:r>
          </w:p>
        </w:tc>
        <w:tc>
          <w:tcPr>
            <w:tcW w:w="5233" w:type="dxa"/>
            <w:tcBorders>
              <w:top w:val="single" w:color="000000" w:sz="2" w:space="0"/>
              <w:left w:val="single" w:color="000000" w:sz="2" w:space="0"/>
              <w:bottom w:val="single" w:color="000000" w:sz="2" w:space="0"/>
              <w:right w:val="single" w:color="auto" w:sz="6" w:space="0"/>
            </w:tcBorders>
          </w:tcPr>
          <w:p w14:paraId="3AA754F6">
            <w:pPr>
              <w:rPr>
                <w:rFonts w:ascii="CG Times (WN)" w:hAnsi="CG Times (WN)"/>
              </w:rPr>
            </w:pPr>
            <w:r>
              <w:rPr>
                <w:rFonts w:hint="eastAsia" w:ascii="CG Times (WN)" w:hAnsi="CG Times (WN)"/>
              </w:rPr>
              <w:t>8</w:t>
            </w:r>
            <w:r>
              <w:rPr>
                <w:rFonts w:ascii="CG Times (WN)" w:hAnsi="CG Times (WN)"/>
              </w:rPr>
              <w:t xml:space="preserve"> </w:t>
            </w:r>
            <w:r>
              <w:rPr>
                <w:rFonts w:hint="eastAsia" w:ascii="CG Times (WN)" w:hAnsi="CG Times (WN)"/>
              </w:rPr>
              <w:t>Tx</w:t>
            </w:r>
            <w:r>
              <w:rPr>
                <w:rFonts w:ascii="CG Times (WN)" w:hAnsi="CG Times (WN)"/>
              </w:rPr>
              <w:t>: (</w:t>
            </w:r>
            <w:r>
              <w:rPr>
                <w:rFonts w:hint="eastAsia" w:ascii="CG Times (WN)" w:hAnsi="CG Times (WN)"/>
              </w:rPr>
              <w:t>2</w:t>
            </w:r>
            <w:r>
              <w:rPr>
                <w:rFonts w:ascii="CG Times (WN)" w:hAnsi="CG Times (WN)"/>
              </w:rPr>
              <w:t>,</w:t>
            </w:r>
            <w:r>
              <w:rPr>
                <w:rFonts w:hint="eastAsia" w:ascii="CG Times (WN)" w:hAnsi="CG Times (WN)"/>
              </w:rPr>
              <w:t>2</w:t>
            </w:r>
            <w:r>
              <w:rPr>
                <w:rFonts w:ascii="CG Times (WN)" w:hAnsi="CG Times (WN)"/>
              </w:rPr>
              <w:t>,2,1,1), (dH,dV) = (0.</w:t>
            </w:r>
            <w:r>
              <w:rPr>
                <w:rFonts w:hint="eastAsia" w:ascii="CG Times (WN)" w:hAnsi="CG Times (WN)"/>
              </w:rPr>
              <w:t>5</w:t>
            </w:r>
            <w:r>
              <w:rPr>
                <w:rFonts w:ascii="CG Times (WN)" w:hAnsi="CG Times (WN)"/>
              </w:rPr>
              <w:t>, 0.</w:t>
            </w:r>
            <w:r>
              <w:rPr>
                <w:rFonts w:hint="eastAsia" w:ascii="CG Times (WN)" w:hAnsi="CG Times (WN)"/>
              </w:rPr>
              <w:t>8</w:t>
            </w:r>
            <w:r>
              <w:rPr>
                <w:rFonts w:ascii="CG Times (WN)" w:hAnsi="CG Times (WN)"/>
              </w:rPr>
              <w:t xml:space="preserve">)λ </w:t>
            </w:r>
          </w:p>
        </w:tc>
      </w:tr>
      <w:tr w14:paraId="0EF18E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1FD5B060">
            <w:pPr>
              <w:rPr>
                <w:rFonts w:ascii="CG Times (WN)" w:hAnsi="CG Times (WN)"/>
              </w:rPr>
            </w:pPr>
            <w:r>
              <w:rPr>
                <w:rFonts w:ascii="CG Times (WN)" w:hAnsi="CG Times (WN)"/>
              </w:rPr>
              <w:t>Antenna setup and port layouts at UE</w:t>
            </w:r>
          </w:p>
        </w:tc>
        <w:tc>
          <w:tcPr>
            <w:tcW w:w="5233" w:type="dxa"/>
            <w:tcBorders>
              <w:top w:val="single" w:color="000000" w:sz="2" w:space="0"/>
              <w:left w:val="single" w:color="000000" w:sz="2" w:space="0"/>
              <w:bottom w:val="single" w:color="000000" w:sz="2" w:space="0"/>
              <w:right w:val="single" w:color="auto" w:sz="6" w:space="0"/>
            </w:tcBorders>
          </w:tcPr>
          <w:p w14:paraId="63DC212C">
            <w:pPr>
              <w:rPr>
                <w:rFonts w:ascii="CG Times (WN)" w:hAnsi="CG Times (WN)"/>
              </w:rPr>
            </w:pPr>
            <w:r>
              <w:rPr>
                <w:rFonts w:hint="eastAsia" w:ascii="CG Times (WN)" w:hAnsi="CG Times (WN)"/>
              </w:rPr>
              <w:t>2</w:t>
            </w:r>
            <w:r>
              <w:rPr>
                <w:rFonts w:ascii="CG Times (WN)" w:hAnsi="CG Times (WN)"/>
              </w:rPr>
              <w:t xml:space="preserve"> Rx: (</w:t>
            </w:r>
            <w:r>
              <w:rPr>
                <w:rFonts w:hint="eastAsia" w:ascii="CG Times (WN)" w:hAnsi="CG Times (WN)"/>
              </w:rPr>
              <w:t>1</w:t>
            </w:r>
            <w:r>
              <w:rPr>
                <w:rFonts w:ascii="CG Times (WN)" w:hAnsi="CG Times (WN)"/>
              </w:rPr>
              <w:t>,</w:t>
            </w:r>
            <w:r>
              <w:rPr>
                <w:rFonts w:hint="eastAsia" w:ascii="CG Times (WN)" w:hAnsi="CG Times (WN)"/>
              </w:rPr>
              <w:t>1</w:t>
            </w:r>
            <w:r>
              <w:rPr>
                <w:rFonts w:ascii="CG Times (WN)" w:hAnsi="CG Times (WN)"/>
              </w:rPr>
              <w:t>,2,1,1), (dH,dV) = (0.5, 0.5)λ</w:t>
            </w:r>
          </w:p>
        </w:tc>
      </w:tr>
      <w:tr w14:paraId="5AB0E2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63E41065">
            <w:pPr>
              <w:rPr>
                <w:rFonts w:ascii="CG Times (WN)" w:hAnsi="CG Times (WN)"/>
              </w:rPr>
            </w:pPr>
            <w:r>
              <w:rPr>
                <w:rFonts w:ascii="CG Times (WN)" w:hAnsi="CG Times (WN)"/>
              </w:rPr>
              <w:t>Number of UEs</w:t>
            </w:r>
          </w:p>
        </w:tc>
        <w:tc>
          <w:tcPr>
            <w:tcW w:w="5233" w:type="dxa"/>
            <w:tcBorders>
              <w:top w:val="single" w:color="000000" w:sz="2" w:space="0"/>
              <w:left w:val="single" w:color="000000" w:sz="2" w:space="0"/>
              <w:bottom w:val="single" w:color="000000" w:sz="2" w:space="0"/>
              <w:right w:val="single" w:color="auto" w:sz="6" w:space="0"/>
            </w:tcBorders>
          </w:tcPr>
          <w:p w14:paraId="3F55D3F3">
            <w:pPr>
              <w:rPr>
                <w:rFonts w:ascii="CG Times (WN)" w:hAnsi="CG Times (WN)"/>
              </w:rPr>
            </w:pPr>
            <w:r>
              <w:rPr>
                <w:rFonts w:ascii="CG Times (WN)" w:hAnsi="CG Times (WN)"/>
              </w:rPr>
              <w:t>1</w:t>
            </w:r>
          </w:p>
        </w:tc>
      </w:tr>
      <w:tr w14:paraId="7FDE4B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4EE57ED5">
            <w:pPr>
              <w:rPr>
                <w:rFonts w:ascii="CG Times (WN)" w:hAnsi="CG Times (WN)"/>
              </w:rPr>
            </w:pPr>
            <w:r>
              <w:rPr>
                <w:rFonts w:hint="eastAsia" w:ascii="CG Times (WN)" w:hAnsi="CG Times (WN)"/>
              </w:rPr>
              <w:t>Direction</w:t>
            </w:r>
          </w:p>
        </w:tc>
        <w:tc>
          <w:tcPr>
            <w:tcW w:w="5233" w:type="dxa"/>
            <w:tcBorders>
              <w:top w:val="single" w:color="000000" w:sz="2" w:space="0"/>
              <w:left w:val="single" w:color="000000" w:sz="2" w:space="0"/>
              <w:bottom w:val="single" w:color="000000" w:sz="2" w:space="0"/>
              <w:right w:val="single" w:color="auto" w:sz="6" w:space="0"/>
            </w:tcBorders>
          </w:tcPr>
          <w:p w14:paraId="553F7E54">
            <w:pPr>
              <w:rPr>
                <w:rFonts w:ascii="CG Times (WN)" w:hAnsi="CG Times (WN)"/>
              </w:rPr>
            </w:pPr>
            <w:r>
              <w:rPr>
                <w:rFonts w:hint="eastAsia" w:ascii="CG Times (WN)" w:hAnsi="CG Times (WN)"/>
              </w:rPr>
              <w:t>Downlink</w:t>
            </w:r>
          </w:p>
        </w:tc>
      </w:tr>
      <w:tr w14:paraId="192AAB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0DFA0EA7">
            <w:pPr>
              <w:rPr>
                <w:rFonts w:ascii="CG Times (WN)" w:hAnsi="CG Times (WN)"/>
              </w:rPr>
            </w:pPr>
            <w:r>
              <w:rPr>
                <w:rFonts w:ascii="CG Times (WN)" w:hAnsi="CG Times (WN)"/>
              </w:rPr>
              <w:t>Channel model</w:t>
            </w:r>
          </w:p>
        </w:tc>
        <w:tc>
          <w:tcPr>
            <w:tcW w:w="5233" w:type="dxa"/>
            <w:tcBorders>
              <w:top w:val="single" w:color="000000" w:sz="2" w:space="0"/>
              <w:left w:val="single" w:color="000000" w:sz="2" w:space="0"/>
              <w:bottom w:val="single" w:color="000000" w:sz="2" w:space="0"/>
              <w:right w:val="single" w:color="auto" w:sz="6" w:space="0"/>
            </w:tcBorders>
          </w:tcPr>
          <w:p w14:paraId="4D10D0E4">
            <w:pPr>
              <w:rPr>
                <w:rFonts w:ascii="CG Times (WN)" w:hAnsi="CG Times (WN)"/>
              </w:rPr>
            </w:pPr>
            <w:r>
              <w:rPr>
                <w:rFonts w:ascii="CG Times (WN)" w:hAnsi="CG Times (WN)"/>
              </w:rPr>
              <w:t>CDL-C in TR38.901</w:t>
            </w:r>
          </w:p>
        </w:tc>
      </w:tr>
      <w:tr w14:paraId="203589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auto" w:sz="6" w:space="0"/>
              <w:right w:val="single" w:color="000000" w:sz="2" w:space="0"/>
            </w:tcBorders>
          </w:tcPr>
          <w:p w14:paraId="150E6DD6">
            <w:pPr>
              <w:rPr>
                <w:rFonts w:ascii="CG Times (WN)" w:hAnsi="CG Times (WN)"/>
              </w:rPr>
            </w:pPr>
            <w:r>
              <w:rPr>
                <w:rFonts w:ascii="CG Times (WN)" w:hAnsi="CG Times (WN)"/>
              </w:rPr>
              <w:t>UE velocity</w:t>
            </w:r>
          </w:p>
        </w:tc>
        <w:tc>
          <w:tcPr>
            <w:tcW w:w="5233" w:type="dxa"/>
            <w:tcBorders>
              <w:top w:val="single" w:color="000000" w:sz="2" w:space="0"/>
              <w:left w:val="single" w:color="000000" w:sz="2" w:space="0"/>
              <w:bottom w:val="single" w:color="auto" w:sz="6" w:space="0"/>
              <w:right w:val="single" w:color="auto" w:sz="6" w:space="0"/>
            </w:tcBorders>
          </w:tcPr>
          <w:p w14:paraId="65985659">
            <w:pPr>
              <w:rPr>
                <w:rFonts w:ascii="CG Times (WN)" w:hAnsi="CG Times (WN)"/>
              </w:rPr>
            </w:pPr>
            <w:r>
              <w:rPr>
                <w:rFonts w:hint="eastAsia" w:ascii="CG Times (WN)" w:hAnsi="CG Times (WN)"/>
              </w:rPr>
              <w:t>10</w:t>
            </w:r>
            <w:r>
              <w:rPr>
                <w:rFonts w:ascii="CG Times (WN)" w:hAnsi="CG Times (WN)"/>
              </w:rPr>
              <w:t>m/</w:t>
            </w:r>
            <w:r>
              <w:rPr>
                <w:rFonts w:hint="eastAsia" w:ascii="CG Times (WN)" w:hAnsi="CG Times (WN)"/>
              </w:rPr>
              <w:t>s, 50m/s, 100m/s</w:t>
            </w:r>
          </w:p>
        </w:tc>
      </w:tr>
    </w:tbl>
    <w:p w14:paraId="40EC7053">
      <w:pPr>
        <w:pStyle w:val="13"/>
        <w:spacing w:beforeAutospacing="1" w:after="0" w:afterAutospacing="1"/>
        <w:jc w:val="center"/>
        <w:rPr>
          <w:sz w:val="20"/>
          <w:szCs w:val="20"/>
          <w:lang w:eastAsia="zh-CN"/>
        </w:rPr>
      </w:pPr>
      <w:r>
        <w:drawing>
          <wp:inline distT="0" distB="0" distL="0" distR="0">
            <wp:extent cx="5100955" cy="2901315"/>
            <wp:effectExtent l="0" t="0" r="4445" b="0"/>
            <wp:docPr id="537785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78598"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01200" cy="2901600"/>
                    </a:xfrm>
                    <a:prstGeom prst="rect">
                      <a:avLst/>
                    </a:prstGeom>
                    <a:noFill/>
                    <a:ln>
                      <a:noFill/>
                    </a:ln>
                  </pic:spPr>
                </pic:pic>
              </a:graphicData>
            </a:graphic>
          </wp:inline>
        </w:drawing>
      </w:r>
    </w:p>
    <w:p w14:paraId="499DED67">
      <w:pPr>
        <w:pStyle w:val="13"/>
        <w:spacing w:before="100" w:beforeAutospacing="1" w:after="100" w:afterAutospacing="1"/>
        <w:jc w:val="center"/>
        <w:rPr>
          <w:b/>
          <w:bCs/>
          <w:sz w:val="20"/>
          <w:szCs w:val="20"/>
          <w:lang w:eastAsia="zh-CN"/>
        </w:rPr>
      </w:pPr>
      <w:r>
        <w:rPr>
          <w:rFonts w:hint="eastAsia"/>
          <w:b/>
          <w:bCs/>
          <w:sz w:val="20"/>
          <w:szCs w:val="20"/>
          <w:lang w:eastAsia="zh-CN"/>
        </w:rPr>
        <w:t xml:space="preserve">Figure 2: </w:t>
      </w:r>
      <w:r>
        <w:rPr>
          <w:b/>
          <w:bCs/>
          <w:sz w:val="20"/>
          <w:szCs w:val="20"/>
          <w:lang w:eastAsia="zh-CN"/>
        </w:rPr>
        <w:t>BLER performance of an AI receiver under different QAM orders and 10 m/s speed</w:t>
      </w:r>
    </w:p>
    <w:p w14:paraId="4AA96CAC">
      <w:pPr>
        <w:pStyle w:val="13"/>
        <w:spacing w:beforeAutospacing="1" w:after="0" w:afterAutospacing="1"/>
        <w:jc w:val="center"/>
        <w:rPr>
          <w:sz w:val="20"/>
          <w:szCs w:val="20"/>
          <w:lang w:eastAsia="zh-CN"/>
        </w:rPr>
      </w:pPr>
      <w:r>
        <w:drawing>
          <wp:inline distT="0" distB="0" distL="0" distR="0">
            <wp:extent cx="5100955" cy="2901315"/>
            <wp:effectExtent l="0" t="0" r="4445" b="0"/>
            <wp:docPr id="2142607492"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607492" name="图片 2" descr="图表&#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1200" cy="2901600"/>
                    </a:xfrm>
                    <a:prstGeom prst="rect">
                      <a:avLst/>
                    </a:prstGeom>
                    <a:noFill/>
                    <a:ln>
                      <a:noFill/>
                    </a:ln>
                  </pic:spPr>
                </pic:pic>
              </a:graphicData>
            </a:graphic>
          </wp:inline>
        </w:drawing>
      </w:r>
    </w:p>
    <w:p w14:paraId="60BADDAC">
      <w:pPr>
        <w:pStyle w:val="13"/>
        <w:spacing w:beforeAutospacing="1" w:after="0" w:afterAutospacing="1"/>
        <w:jc w:val="center"/>
        <w:rPr>
          <w:b/>
          <w:bCs/>
          <w:sz w:val="20"/>
          <w:szCs w:val="20"/>
          <w:lang w:eastAsia="zh-CN"/>
        </w:rPr>
      </w:pPr>
      <w:r>
        <w:rPr>
          <w:rFonts w:hint="eastAsia"/>
          <w:b/>
          <w:bCs/>
          <w:sz w:val="20"/>
          <w:szCs w:val="20"/>
          <w:lang w:eastAsia="zh-CN"/>
        </w:rPr>
        <w:t xml:space="preserve">Figure 3: </w:t>
      </w:r>
      <w:r>
        <w:rPr>
          <w:b/>
          <w:bCs/>
          <w:sz w:val="20"/>
          <w:szCs w:val="20"/>
          <w:lang w:eastAsia="zh-CN"/>
        </w:rPr>
        <w:t>BLER performance of an AI receiver under different speeds and 16QAM</w:t>
      </w:r>
    </w:p>
    <w:p w14:paraId="7BD6EB7E">
      <w:pPr>
        <w:pStyle w:val="13"/>
        <w:spacing w:beforeAutospacing="1" w:after="0" w:afterAutospacing="1"/>
        <w:rPr>
          <w:sz w:val="20"/>
          <w:szCs w:val="20"/>
        </w:rPr>
      </w:pPr>
      <w:r>
        <w:rPr>
          <w:b/>
          <w:bCs/>
          <w:sz w:val="20"/>
          <w:szCs w:val="20"/>
        </w:rPr>
        <w:t xml:space="preserve">Observation </w:t>
      </w:r>
      <w:r>
        <w:rPr>
          <w:rFonts w:hint="eastAsia"/>
          <w:b/>
          <w:bCs/>
          <w:sz w:val="20"/>
          <w:szCs w:val="20"/>
          <w:lang w:eastAsia="zh-CN"/>
        </w:rPr>
        <w:t>2</w:t>
      </w:r>
      <w:r>
        <w:rPr>
          <w:b/>
          <w:bCs/>
          <w:sz w:val="20"/>
          <w:szCs w:val="20"/>
        </w:rPr>
        <w:t xml:space="preserve">: </w:t>
      </w:r>
      <w:r>
        <w:rPr>
          <w:rFonts w:hint="eastAsia"/>
          <w:b/>
          <w:bCs/>
          <w:sz w:val="20"/>
          <w:szCs w:val="20"/>
          <w:lang w:eastAsia="zh-CN"/>
        </w:rPr>
        <w:t xml:space="preserve">The </w:t>
      </w:r>
      <w:r>
        <w:rPr>
          <w:b/>
          <w:bCs/>
          <w:sz w:val="20"/>
          <w:szCs w:val="20"/>
        </w:rPr>
        <w:t>AI</w:t>
      </w:r>
      <w:r>
        <w:rPr>
          <w:rFonts w:hint="eastAsia"/>
          <w:b/>
          <w:bCs/>
          <w:sz w:val="20"/>
          <w:szCs w:val="20"/>
          <w:lang w:eastAsia="zh-CN"/>
        </w:rPr>
        <w:t xml:space="preserve"> </w:t>
      </w:r>
      <w:r>
        <w:rPr>
          <w:b/>
          <w:bCs/>
          <w:sz w:val="20"/>
          <w:szCs w:val="20"/>
        </w:rPr>
        <w:t>receiver can improve system performance compared to</w:t>
      </w:r>
      <w:r>
        <w:rPr>
          <w:rFonts w:hint="eastAsia"/>
          <w:b/>
          <w:bCs/>
          <w:sz w:val="20"/>
          <w:szCs w:val="20"/>
          <w:lang w:eastAsia="zh-CN"/>
        </w:rPr>
        <w:t xml:space="preserve"> the</w:t>
      </w:r>
      <w:r>
        <w:rPr>
          <w:b/>
          <w:bCs/>
          <w:sz w:val="20"/>
          <w:szCs w:val="20"/>
        </w:rPr>
        <w:t xml:space="preserve"> conventional receiver, particularly under scenarios with </w:t>
      </w:r>
      <w:r>
        <w:rPr>
          <w:b/>
          <w:bCs/>
          <w:color w:val="000000" w:themeColor="text1"/>
          <w:sz w:val="20"/>
          <w:szCs w:val="20"/>
          <w14:textFill>
            <w14:solidFill>
              <w14:schemeClr w14:val="tx1"/>
            </w14:solidFill>
          </w14:textFill>
        </w:rPr>
        <w:t>fast-fading</w:t>
      </w:r>
      <w:r>
        <w:rPr>
          <w:b/>
          <w:bCs/>
          <w:sz w:val="20"/>
          <w:szCs w:val="20"/>
        </w:rPr>
        <w:t xml:space="preserve"> channels.</w:t>
      </w:r>
    </w:p>
    <w:p w14:paraId="7F154312">
      <w:pPr>
        <w:rPr>
          <w:lang w:eastAsia="zh-CN"/>
        </w:rPr>
      </w:pPr>
      <w:r>
        <w:rPr>
          <w:lang w:eastAsia="zh-CN"/>
        </w:rPr>
        <w:t>Next, we experimentally verify that</w:t>
      </w:r>
      <w:r>
        <w:rPr>
          <w:rFonts w:hint="eastAsia"/>
          <w:lang w:eastAsia="zh-CN"/>
        </w:rPr>
        <w:t xml:space="preserve"> the</w:t>
      </w:r>
      <w:r>
        <w:rPr>
          <w:lang w:eastAsia="zh-CN"/>
        </w:rPr>
        <w:t xml:space="preserve"> AI receiver can effectively reduce DMRS overhead, meaning that </w:t>
      </w:r>
      <w:r>
        <w:rPr>
          <w:rFonts w:hint="eastAsia"/>
          <w:lang w:val="en-US" w:eastAsia="zh-CN"/>
        </w:rPr>
        <w:t xml:space="preserve">it </w:t>
      </w:r>
      <w:r>
        <w:rPr>
          <w:lang w:eastAsia="zh-CN"/>
        </w:rPr>
        <w:t>can maintain or improve system performance while using sparse DMRS. The evaluation primarily considers orthogonal pilot patterns sparsely configured in either the time domain or the frequency domain within the Resource Grid (RG). The sparse</w:t>
      </w:r>
      <w:r>
        <w:rPr>
          <w:rFonts w:hint="eastAsia"/>
          <w:lang w:eastAsia="zh-CN"/>
        </w:rPr>
        <w:t xml:space="preserve"> DMRS</w:t>
      </w:r>
      <w:r>
        <w:rPr>
          <w:lang w:eastAsia="zh-CN"/>
        </w:rPr>
        <w:t xml:space="preserve"> patterns are </w:t>
      </w:r>
      <w:r>
        <w:rPr>
          <w:rFonts w:hint="eastAsia"/>
          <w:lang w:eastAsia="zh-CN"/>
        </w:rPr>
        <w:t>show</w:t>
      </w:r>
      <w:r>
        <w:rPr>
          <w:lang w:eastAsia="zh-CN"/>
        </w:rPr>
        <w:t xml:space="preserve">n </w:t>
      </w:r>
      <w:r>
        <w:rPr>
          <w:rFonts w:hint="eastAsia"/>
          <w:lang w:eastAsia="zh-CN"/>
        </w:rPr>
        <w:t xml:space="preserve">in </w:t>
      </w:r>
      <w:r>
        <w:rPr>
          <w:lang w:eastAsia="zh-CN"/>
        </w:rPr>
        <w:t xml:space="preserve">Figure </w:t>
      </w:r>
      <w:r>
        <w:rPr>
          <w:rFonts w:hint="eastAsia"/>
          <w:lang w:eastAsia="zh-CN"/>
        </w:rPr>
        <w:t>4</w:t>
      </w:r>
      <w:r>
        <w:rPr>
          <w:lang w:eastAsia="zh-CN"/>
        </w:rPr>
        <w:t>.</w:t>
      </w:r>
    </w:p>
    <w:p w14:paraId="6DBB04F2">
      <w:pPr>
        <w:jc w:val="center"/>
        <w:rPr>
          <w:lang w:eastAsia="zh-CN"/>
        </w:rPr>
      </w:pPr>
      <w:r>
        <w:drawing>
          <wp:inline distT="0" distB="0" distL="0" distR="0">
            <wp:extent cx="5104765" cy="3261360"/>
            <wp:effectExtent l="0" t="0" r="635" b="0"/>
            <wp:docPr id="16484965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496595"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04800" cy="3261600"/>
                    </a:xfrm>
                    <a:prstGeom prst="rect">
                      <a:avLst/>
                    </a:prstGeom>
                    <a:noFill/>
                    <a:ln>
                      <a:noFill/>
                    </a:ln>
                  </pic:spPr>
                </pic:pic>
              </a:graphicData>
            </a:graphic>
          </wp:inline>
        </w:drawing>
      </w:r>
    </w:p>
    <w:p w14:paraId="3AB9980C">
      <w:pPr>
        <w:jc w:val="center"/>
        <w:rPr>
          <w:b/>
          <w:bCs/>
          <w:lang w:eastAsia="zh-CN"/>
        </w:rPr>
      </w:pPr>
      <w:r>
        <w:rPr>
          <w:rFonts w:hint="eastAsia"/>
          <w:b/>
          <w:bCs/>
          <w:lang w:eastAsia="zh-CN"/>
        </w:rPr>
        <w:t>Figure 4: Sparse DMRS Pattern</w:t>
      </w:r>
      <w:r>
        <w:rPr>
          <w:b/>
          <w:bCs/>
          <w:lang w:eastAsia="zh-CN"/>
        </w:rPr>
        <w:t>s</w:t>
      </w:r>
    </w:p>
    <w:p w14:paraId="7D0ADFFE">
      <w:pPr>
        <w:rPr>
          <w:lang w:eastAsia="zh-CN"/>
        </w:rPr>
      </w:pPr>
      <w:r>
        <w:rPr>
          <w:lang w:eastAsia="zh-CN"/>
        </w:rPr>
        <w:t xml:space="preserve">The traditional </w:t>
      </w:r>
      <w:r>
        <w:rPr>
          <w:rFonts w:hint="eastAsia"/>
          <w:lang w:eastAsia="zh-CN"/>
        </w:rPr>
        <w:t xml:space="preserve">method </w:t>
      </w:r>
      <w:r>
        <w:rPr>
          <w:lang w:eastAsia="zh-CN"/>
        </w:rPr>
        <w:t>using the “T2F6”</w:t>
      </w:r>
      <w:r>
        <w:rPr>
          <w:rFonts w:hint="eastAsia"/>
          <w:lang w:eastAsia="zh-CN"/>
        </w:rPr>
        <w:t xml:space="preserve"> DMRS</w:t>
      </w:r>
      <w:r>
        <w:rPr>
          <w:lang w:eastAsia="zh-CN"/>
        </w:rPr>
        <w:t xml:space="preserve"> pattern</w:t>
      </w:r>
      <w:r>
        <w:rPr>
          <w:rFonts w:hint="eastAsia"/>
          <w:lang w:eastAsia="zh-CN"/>
        </w:rPr>
        <w:t xml:space="preserve"> (i.e.</w:t>
      </w:r>
      <w:r>
        <w:rPr>
          <w:rFonts w:hint="eastAsia"/>
          <w:lang w:val="en-US" w:eastAsia="zh-CN"/>
        </w:rPr>
        <w:t>,</w:t>
      </w:r>
      <w:r>
        <w:rPr>
          <w:rFonts w:hint="eastAsia"/>
          <w:lang w:eastAsia="zh-CN"/>
        </w:rPr>
        <w:t xml:space="preserve"> DMRS </w:t>
      </w:r>
      <w:r>
        <w:rPr>
          <w:lang w:eastAsia="zh-CN"/>
        </w:rPr>
        <w:t xml:space="preserve">Type 1, single symbol with 1 additional </w:t>
      </w:r>
      <w:r>
        <w:rPr>
          <w:rFonts w:hint="eastAsia"/>
          <w:lang w:eastAsia="zh-CN"/>
        </w:rPr>
        <w:t>DMRS symbol)</w:t>
      </w:r>
      <w:r>
        <w:rPr>
          <w:lang w:eastAsia="zh-CN"/>
        </w:rPr>
        <w:t xml:space="preserve"> is used as the benchmark. In addition, a perfect CSI scenario without any pilot transmission is also evaluated to provide a maximum throughput reference.</w:t>
      </w:r>
    </w:p>
    <w:p w14:paraId="25401919">
      <w:pPr>
        <w:rPr>
          <w:lang w:eastAsia="zh-CN"/>
        </w:rPr>
      </w:pPr>
      <w:r>
        <w:rPr>
          <w:lang w:eastAsia="zh-CN"/>
        </w:rPr>
        <w:t>The link</w:t>
      </w:r>
      <w:r>
        <w:rPr>
          <w:rFonts w:hint="eastAsia"/>
          <w:lang w:eastAsia="zh-CN"/>
        </w:rPr>
        <w:t>-</w:t>
      </w:r>
      <w:r>
        <w:rPr>
          <w:lang w:eastAsia="zh-CN"/>
        </w:rPr>
        <w:t>level simulation</w:t>
      </w:r>
      <w:r>
        <w:rPr>
          <w:rFonts w:hint="eastAsia"/>
          <w:lang w:eastAsia="zh-CN"/>
        </w:rPr>
        <w:t xml:space="preserve"> </w:t>
      </w:r>
      <w:r>
        <w:rPr>
          <w:lang w:eastAsia="zh-CN"/>
        </w:rPr>
        <w:t>configuration</w:t>
      </w:r>
      <w:r>
        <w:rPr>
          <w:rFonts w:hint="eastAsia"/>
          <w:lang w:eastAsia="zh-CN"/>
        </w:rPr>
        <w:t>s</w:t>
      </w:r>
      <w:r>
        <w:rPr>
          <w:lang w:eastAsia="zh-CN"/>
        </w:rPr>
        <w:t xml:space="preserve"> </w:t>
      </w:r>
      <w:r>
        <w:rPr>
          <w:rFonts w:hint="eastAsia"/>
          <w:lang w:eastAsia="zh-CN"/>
        </w:rPr>
        <w:t>are</w:t>
      </w:r>
      <w:r>
        <w:rPr>
          <w:lang w:eastAsia="zh-CN"/>
        </w:rPr>
        <w:t xml:space="preserve"> shown in Table </w:t>
      </w:r>
      <w:r>
        <w:rPr>
          <w:rFonts w:hint="eastAsia"/>
          <w:lang w:eastAsia="zh-CN"/>
        </w:rPr>
        <w:t>3.</w:t>
      </w:r>
    </w:p>
    <w:p w14:paraId="270F9772">
      <w:pPr>
        <w:pStyle w:val="7"/>
        <w:jc w:val="center"/>
        <w:rPr>
          <w:lang w:eastAsia="zh-CN"/>
        </w:rPr>
      </w:pPr>
      <w:r>
        <w:t xml:space="preserve">Table </w:t>
      </w:r>
      <w:r>
        <w:rPr>
          <w:rFonts w:hint="eastAsia"/>
          <w:lang w:eastAsia="zh-CN"/>
        </w:rPr>
        <w:t>3</w:t>
      </w:r>
      <w:r>
        <w:rPr>
          <w:rFonts w:hint="eastAsia"/>
        </w:rPr>
        <w:t>: L</w:t>
      </w:r>
      <w:r>
        <w:t>ink</w:t>
      </w:r>
      <w:r>
        <w:rPr>
          <w:rFonts w:hint="eastAsia"/>
        </w:rPr>
        <w:t>-</w:t>
      </w:r>
      <w:r>
        <w:t xml:space="preserve">level </w:t>
      </w:r>
      <w:r>
        <w:rPr>
          <w:rFonts w:hint="eastAsia"/>
          <w:lang w:eastAsia="zh-CN"/>
        </w:rPr>
        <w:t>S</w:t>
      </w:r>
      <w:r>
        <w:t>imulation</w:t>
      </w:r>
      <w:r>
        <w:rPr>
          <w:rFonts w:hint="eastAsia"/>
        </w:rPr>
        <w:t xml:space="preserve"> </w:t>
      </w:r>
      <w:r>
        <w:rPr>
          <w:rFonts w:hint="eastAsia"/>
          <w:lang w:eastAsia="zh-CN"/>
        </w:rPr>
        <w:t>C</w:t>
      </w:r>
      <w:r>
        <w:t>onfiguration</w:t>
      </w:r>
      <w:r>
        <w:rPr>
          <w:rFonts w:hint="eastAsia"/>
          <w:lang w:eastAsia="zh-CN"/>
        </w:rPr>
        <w:t>s</w:t>
      </w:r>
    </w:p>
    <w:tbl>
      <w:tblPr>
        <w:tblStyle w:val="16"/>
        <w:tblW w:w="8627"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3394"/>
        <w:gridCol w:w="5233"/>
      </w:tblGrid>
      <w:tr w14:paraId="657204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auto" w:sz="6" w:space="0"/>
              <w:left w:val="single" w:color="auto" w:sz="6" w:space="0"/>
              <w:bottom w:val="single" w:color="auto" w:sz="2" w:space="0"/>
            </w:tcBorders>
          </w:tcPr>
          <w:p w14:paraId="1C31AF35">
            <w:pPr>
              <w:rPr>
                <w:rFonts w:ascii="CG Times (WN)" w:hAnsi="CG Times (WN)"/>
              </w:rPr>
            </w:pPr>
            <w:r>
              <w:rPr>
                <w:rFonts w:ascii="CG Times (WN)" w:hAnsi="CG Times (WN)"/>
              </w:rPr>
              <w:t>Parameters</w:t>
            </w:r>
          </w:p>
        </w:tc>
        <w:tc>
          <w:tcPr>
            <w:tcW w:w="5233" w:type="dxa"/>
            <w:tcBorders>
              <w:top w:val="single" w:color="auto" w:sz="6" w:space="0"/>
              <w:bottom w:val="single" w:color="auto" w:sz="2" w:space="0"/>
              <w:right w:val="single" w:color="auto" w:sz="6" w:space="0"/>
            </w:tcBorders>
          </w:tcPr>
          <w:p w14:paraId="391B3FF9">
            <w:pPr>
              <w:rPr>
                <w:rFonts w:ascii="CG Times (WN)" w:hAnsi="CG Times (WN)"/>
              </w:rPr>
            </w:pPr>
            <w:r>
              <w:rPr>
                <w:rFonts w:ascii="CG Times (WN)" w:hAnsi="CG Times (WN)"/>
              </w:rPr>
              <w:t>Value</w:t>
            </w:r>
          </w:p>
        </w:tc>
      </w:tr>
      <w:tr w14:paraId="68F595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621EDDAB">
            <w:pPr>
              <w:rPr>
                <w:rFonts w:ascii="CG Times (WN)" w:hAnsi="CG Times (WN)"/>
              </w:rPr>
            </w:pPr>
            <w:r>
              <w:rPr>
                <w:rFonts w:ascii="CG Times (WN)" w:hAnsi="CG Times (WN)"/>
              </w:rPr>
              <w:t>Central frequency</w:t>
            </w:r>
          </w:p>
        </w:tc>
        <w:tc>
          <w:tcPr>
            <w:tcW w:w="5233" w:type="dxa"/>
            <w:tcBorders>
              <w:top w:val="single" w:color="000000" w:sz="2" w:space="0"/>
              <w:left w:val="single" w:color="000000" w:sz="2" w:space="0"/>
              <w:bottom w:val="single" w:color="000000" w:sz="2" w:space="0"/>
              <w:right w:val="single" w:color="auto" w:sz="6" w:space="0"/>
            </w:tcBorders>
          </w:tcPr>
          <w:p w14:paraId="552AE08E">
            <w:pPr>
              <w:rPr>
                <w:rFonts w:ascii="CG Times (WN)" w:hAnsi="CG Times (WN)"/>
              </w:rPr>
            </w:pPr>
            <w:r>
              <w:rPr>
                <w:rFonts w:ascii="CG Times (WN)" w:hAnsi="CG Times (WN)"/>
              </w:rPr>
              <w:t>4GHz</w:t>
            </w:r>
          </w:p>
        </w:tc>
      </w:tr>
      <w:tr w14:paraId="009AC2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3086A0D6">
            <w:pPr>
              <w:rPr>
                <w:rFonts w:ascii="CG Times (WN)" w:hAnsi="CG Times (WN)"/>
              </w:rPr>
            </w:pPr>
            <w:r>
              <w:rPr>
                <w:rFonts w:ascii="CG Times (WN)" w:hAnsi="CG Times (WN)"/>
              </w:rPr>
              <w:t>Subcarrier spacing</w:t>
            </w:r>
          </w:p>
        </w:tc>
        <w:tc>
          <w:tcPr>
            <w:tcW w:w="5233" w:type="dxa"/>
            <w:tcBorders>
              <w:top w:val="single" w:color="000000" w:sz="2" w:space="0"/>
              <w:left w:val="single" w:color="000000" w:sz="2" w:space="0"/>
              <w:bottom w:val="single" w:color="000000" w:sz="2" w:space="0"/>
              <w:right w:val="single" w:color="auto" w:sz="6" w:space="0"/>
            </w:tcBorders>
          </w:tcPr>
          <w:p w14:paraId="37D4FA80">
            <w:pPr>
              <w:rPr>
                <w:rFonts w:ascii="CG Times (WN)" w:hAnsi="CG Times (WN)"/>
              </w:rPr>
            </w:pPr>
            <w:r>
              <w:rPr>
                <w:rFonts w:ascii="CG Times (WN)" w:hAnsi="CG Times (WN)"/>
              </w:rPr>
              <w:t>30kHz</w:t>
            </w:r>
          </w:p>
        </w:tc>
      </w:tr>
      <w:tr w14:paraId="3ACBF1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4C1C56CA">
            <w:pPr>
              <w:rPr>
                <w:rFonts w:ascii="CG Times (WN)" w:hAnsi="CG Times (WN)"/>
              </w:rPr>
            </w:pPr>
            <w:r>
              <w:rPr>
                <w:rFonts w:ascii="CG Times (WN)" w:hAnsi="CG Times (WN)"/>
              </w:rPr>
              <w:t>Modulation Order</w:t>
            </w:r>
          </w:p>
        </w:tc>
        <w:tc>
          <w:tcPr>
            <w:tcW w:w="5233" w:type="dxa"/>
            <w:tcBorders>
              <w:top w:val="single" w:color="000000" w:sz="2" w:space="0"/>
              <w:left w:val="single" w:color="000000" w:sz="2" w:space="0"/>
              <w:bottom w:val="single" w:color="000000" w:sz="2" w:space="0"/>
              <w:right w:val="single" w:color="auto" w:sz="6" w:space="0"/>
            </w:tcBorders>
          </w:tcPr>
          <w:p w14:paraId="763A6F47">
            <w:pPr>
              <w:rPr>
                <w:rFonts w:ascii="CG Times (WN)" w:hAnsi="CG Times (WN)"/>
              </w:rPr>
            </w:pPr>
            <w:r>
              <w:rPr>
                <w:rFonts w:hint="eastAsia" w:ascii="CG Times (WN)" w:hAnsi="CG Times (WN)"/>
                <w:lang w:eastAsia="zh-CN"/>
              </w:rPr>
              <w:t>4(16QAM)</w:t>
            </w:r>
          </w:p>
        </w:tc>
      </w:tr>
      <w:tr w14:paraId="06270C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3D034F7E">
            <w:pPr>
              <w:rPr>
                <w:rFonts w:ascii="CG Times (WN)" w:hAnsi="CG Times (WN)"/>
              </w:rPr>
            </w:pPr>
            <w:r>
              <w:rPr>
                <w:rFonts w:ascii="CG Times (WN)" w:hAnsi="CG Times (WN)"/>
              </w:rPr>
              <w:t xml:space="preserve">DMRS </w:t>
            </w:r>
            <w:r>
              <w:rPr>
                <w:rFonts w:hint="eastAsia" w:ascii="CG Times (WN)" w:hAnsi="CG Times (WN)"/>
              </w:rPr>
              <w:t>C</w:t>
            </w:r>
            <w:r>
              <w:rPr>
                <w:rFonts w:ascii="CG Times (WN)" w:hAnsi="CG Times (WN)"/>
              </w:rPr>
              <w:t>onfigurations</w:t>
            </w:r>
          </w:p>
        </w:tc>
        <w:tc>
          <w:tcPr>
            <w:tcW w:w="5233" w:type="dxa"/>
            <w:tcBorders>
              <w:top w:val="single" w:color="000000" w:sz="2" w:space="0"/>
              <w:left w:val="single" w:color="000000" w:sz="2" w:space="0"/>
              <w:bottom w:val="single" w:color="000000" w:sz="2" w:space="0"/>
              <w:right w:val="single" w:color="auto" w:sz="6" w:space="0"/>
            </w:tcBorders>
          </w:tcPr>
          <w:p w14:paraId="430D5FDA">
            <w:pPr>
              <w:rPr>
                <w:rFonts w:ascii="CG Times (WN)" w:hAnsi="CG Times (WN)"/>
              </w:rPr>
            </w:pPr>
            <w:r>
              <w:rPr>
                <w:rFonts w:hint="eastAsia" w:ascii="CG Times (WN)" w:hAnsi="CG Times (WN)"/>
              </w:rPr>
              <w:t>Perfect CSI: without any DMRS</w:t>
            </w:r>
          </w:p>
          <w:p w14:paraId="7323082E">
            <w:pPr>
              <w:rPr>
                <w:rFonts w:ascii="CG Times (WN)" w:hAnsi="CG Times (WN)"/>
              </w:rPr>
            </w:pPr>
            <w:r>
              <w:rPr>
                <w:rFonts w:hint="eastAsia" w:ascii="CG Times (WN)" w:hAnsi="CG Times (WN)"/>
              </w:rPr>
              <w:t>LS Estimation: T2F6</w:t>
            </w:r>
          </w:p>
          <w:p w14:paraId="21FDD2AF">
            <w:pPr>
              <w:rPr>
                <w:rFonts w:ascii="CG Times (WN)" w:hAnsi="CG Times (WN)"/>
              </w:rPr>
            </w:pPr>
            <w:r>
              <w:rPr>
                <w:rFonts w:hint="eastAsia" w:ascii="CG Times (WN)" w:hAnsi="CG Times (WN)"/>
              </w:rPr>
              <w:t xml:space="preserve">AI Receiver: sparse in </w:t>
            </w:r>
            <w:r>
              <w:rPr>
                <w:rFonts w:ascii="CG Times (WN)" w:hAnsi="CG Times (WN)"/>
              </w:rPr>
              <w:t>time domain</w:t>
            </w:r>
            <w:r>
              <w:rPr>
                <w:rFonts w:hint="eastAsia" w:ascii="CG Times (WN)" w:hAnsi="CG Times (WN)"/>
              </w:rPr>
              <w:t>: T2F6, T1F6</w:t>
            </w:r>
            <w:r>
              <w:rPr>
                <w:rFonts w:ascii="CG Times (WN)" w:hAnsi="CG Times (WN)"/>
              </w:rPr>
              <w:t xml:space="preserve"> </w:t>
            </w:r>
          </w:p>
          <w:p w14:paraId="218854B9">
            <w:pPr>
              <w:rPr>
                <w:rFonts w:ascii="CG Times (WN)" w:hAnsi="CG Times (WN)"/>
              </w:rPr>
            </w:pPr>
            <w:r>
              <w:rPr>
                <w:rFonts w:hint="eastAsia" w:ascii="CG Times (WN)" w:hAnsi="CG Times (WN)"/>
              </w:rPr>
              <w:t xml:space="preserve">sparse in </w:t>
            </w:r>
            <w:r>
              <w:rPr>
                <w:rFonts w:ascii="CG Times (WN)" w:hAnsi="CG Times (WN)"/>
              </w:rPr>
              <w:t>frequency domain</w:t>
            </w:r>
            <w:r>
              <w:rPr>
                <w:rFonts w:hint="eastAsia" w:ascii="CG Times (WN)" w:hAnsi="CG Times (WN)"/>
              </w:rPr>
              <w:t>: T2F6, T2F4, T2F3, T2F2, T2F1</w:t>
            </w:r>
          </w:p>
        </w:tc>
      </w:tr>
      <w:tr w14:paraId="2F9CA1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230B2BC9">
            <w:pPr>
              <w:rPr>
                <w:rFonts w:ascii="CG Times (WN)" w:hAnsi="CG Times (WN)"/>
              </w:rPr>
            </w:pPr>
            <w:r>
              <w:rPr>
                <w:rFonts w:ascii="CG Times (WN)" w:hAnsi="CG Times (WN)"/>
              </w:rPr>
              <w:t>Target Coderate</w:t>
            </w:r>
          </w:p>
        </w:tc>
        <w:tc>
          <w:tcPr>
            <w:tcW w:w="5233" w:type="dxa"/>
            <w:tcBorders>
              <w:top w:val="single" w:color="000000" w:sz="2" w:space="0"/>
              <w:left w:val="single" w:color="000000" w:sz="2" w:space="0"/>
              <w:bottom w:val="single" w:color="000000" w:sz="2" w:space="0"/>
              <w:right w:val="single" w:color="auto" w:sz="6" w:space="0"/>
            </w:tcBorders>
          </w:tcPr>
          <w:p w14:paraId="7E9B8725">
            <w:pPr>
              <w:rPr>
                <w:rFonts w:ascii="CG Times (WN)" w:hAnsi="CG Times (WN)"/>
              </w:rPr>
            </w:pPr>
            <w:r>
              <w:rPr>
                <w:rFonts w:hint="eastAsia" w:ascii="CG Times (WN)" w:hAnsi="CG Times (WN)"/>
              </w:rPr>
              <w:t>0.5</w:t>
            </w:r>
          </w:p>
        </w:tc>
      </w:tr>
      <w:tr w14:paraId="491F9BE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26E9F711">
            <w:pPr>
              <w:rPr>
                <w:rFonts w:ascii="CG Times (WN)" w:hAnsi="CG Times (WN)"/>
              </w:rPr>
            </w:pPr>
            <w:r>
              <w:rPr>
                <w:rFonts w:ascii="CG Times (WN)" w:hAnsi="CG Times (WN)"/>
              </w:rPr>
              <w:t>Precoding</w:t>
            </w:r>
          </w:p>
        </w:tc>
        <w:tc>
          <w:tcPr>
            <w:tcW w:w="5233" w:type="dxa"/>
            <w:tcBorders>
              <w:top w:val="single" w:color="000000" w:sz="2" w:space="0"/>
              <w:left w:val="single" w:color="000000" w:sz="2" w:space="0"/>
              <w:bottom w:val="single" w:color="000000" w:sz="2" w:space="0"/>
              <w:right w:val="single" w:color="auto" w:sz="6" w:space="0"/>
            </w:tcBorders>
          </w:tcPr>
          <w:p w14:paraId="78B8158C">
            <w:pPr>
              <w:rPr>
                <w:rFonts w:ascii="CG Times (WN)" w:hAnsi="CG Times (WN)"/>
              </w:rPr>
            </w:pPr>
            <w:r>
              <w:rPr>
                <w:rFonts w:ascii="CG Times (WN)" w:hAnsi="CG Times (WN)"/>
              </w:rPr>
              <w:t>RZF precoding with ideal CSI feedback</w:t>
            </w:r>
          </w:p>
        </w:tc>
      </w:tr>
      <w:tr w14:paraId="3E9591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5CAD23D1">
            <w:pPr>
              <w:rPr>
                <w:rFonts w:ascii="CG Times (WN)" w:hAnsi="CG Times (WN)"/>
              </w:rPr>
            </w:pPr>
            <w:r>
              <w:rPr>
                <w:rFonts w:ascii="CG Times (WN)" w:hAnsi="CG Times (WN)"/>
              </w:rPr>
              <w:t>Antenna setup and port layouts at BS</w:t>
            </w:r>
          </w:p>
        </w:tc>
        <w:tc>
          <w:tcPr>
            <w:tcW w:w="5233" w:type="dxa"/>
            <w:tcBorders>
              <w:top w:val="single" w:color="000000" w:sz="2" w:space="0"/>
              <w:left w:val="single" w:color="000000" w:sz="2" w:space="0"/>
              <w:bottom w:val="single" w:color="000000" w:sz="2" w:space="0"/>
              <w:right w:val="single" w:color="auto" w:sz="6" w:space="0"/>
            </w:tcBorders>
          </w:tcPr>
          <w:p w14:paraId="7943F186">
            <w:pPr>
              <w:rPr>
                <w:rFonts w:ascii="CG Times (WN)" w:hAnsi="CG Times (WN)"/>
              </w:rPr>
            </w:pPr>
            <w:r>
              <w:rPr>
                <w:rFonts w:hint="eastAsia" w:ascii="CG Times (WN)" w:hAnsi="CG Times (WN)"/>
              </w:rPr>
              <w:t>8</w:t>
            </w:r>
            <w:r>
              <w:rPr>
                <w:rFonts w:ascii="CG Times (WN)" w:hAnsi="CG Times (WN)"/>
              </w:rPr>
              <w:t xml:space="preserve"> </w:t>
            </w:r>
            <w:r>
              <w:rPr>
                <w:rFonts w:hint="eastAsia" w:ascii="CG Times (WN)" w:hAnsi="CG Times (WN)"/>
              </w:rPr>
              <w:t>Tx</w:t>
            </w:r>
            <w:r>
              <w:rPr>
                <w:rFonts w:ascii="CG Times (WN)" w:hAnsi="CG Times (WN)"/>
              </w:rPr>
              <w:t>: (</w:t>
            </w:r>
            <w:r>
              <w:rPr>
                <w:rFonts w:hint="eastAsia" w:ascii="CG Times (WN)" w:hAnsi="CG Times (WN)"/>
              </w:rPr>
              <w:t>2</w:t>
            </w:r>
            <w:r>
              <w:rPr>
                <w:rFonts w:ascii="CG Times (WN)" w:hAnsi="CG Times (WN)"/>
              </w:rPr>
              <w:t>,</w:t>
            </w:r>
            <w:r>
              <w:rPr>
                <w:rFonts w:hint="eastAsia" w:ascii="CG Times (WN)" w:hAnsi="CG Times (WN)"/>
              </w:rPr>
              <w:t>2</w:t>
            </w:r>
            <w:r>
              <w:rPr>
                <w:rFonts w:ascii="CG Times (WN)" w:hAnsi="CG Times (WN)"/>
              </w:rPr>
              <w:t>,2,1,1), (dH,dV) = (0.</w:t>
            </w:r>
            <w:r>
              <w:rPr>
                <w:rFonts w:hint="eastAsia" w:ascii="CG Times (WN)" w:hAnsi="CG Times (WN)"/>
              </w:rPr>
              <w:t>5</w:t>
            </w:r>
            <w:r>
              <w:rPr>
                <w:rFonts w:ascii="CG Times (WN)" w:hAnsi="CG Times (WN)"/>
              </w:rPr>
              <w:t>, 0.</w:t>
            </w:r>
            <w:r>
              <w:rPr>
                <w:rFonts w:hint="eastAsia" w:ascii="CG Times (WN)" w:hAnsi="CG Times (WN)"/>
              </w:rPr>
              <w:t>8</w:t>
            </w:r>
            <w:r>
              <w:rPr>
                <w:rFonts w:ascii="CG Times (WN)" w:hAnsi="CG Times (WN)"/>
              </w:rPr>
              <w:t xml:space="preserve">)λ </w:t>
            </w:r>
          </w:p>
        </w:tc>
      </w:tr>
      <w:tr w14:paraId="138972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0AF7C94E">
            <w:pPr>
              <w:rPr>
                <w:rFonts w:ascii="CG Times (WN)" w:hAnsi="CG Times (WN)"/>
              </w:rPr>
            </w:pPr>
            <w:r>
              <w:rPr>
                <w:rFonts w:ascii="CG Times (WN)" w:hAnsi="CG Times (WN)"/>
              </w:rPr>
              <w:t>Antenna setup and port layouts at UE</w:t>
            </w:r>
          </w:p>
        </w:tc>
        <w:tc>
          <w:tcPr>
            <w:tcW w:w="5233" w:type="dxa"/>
            <w:tcBorders>
              <w:top w:val="single" w:color="000000" w:sz="2" w:space="0"/>
              <w:left w:val="single" w:color="000000" w:sz="2" w:space="0"/>
              <w:bottom w:val="single" w:color="000000" w:sz="2" w:space="0"/>
              <w:right w:val="single" w:color="auto" w:sz="6" w:space="0"/>
            </w:tcBorders>
          </w:tcPr>
          <w:p w14:paraId="5EF2613E">
            <w:pPr>
              <w:rPr>
                <w:rFonts w:ascii="CG Times (WN)" w:hAnsi="CG Times (WN)"/>
              </w:rPr>
            </w:pPr>
            <w:r>
              <w:rPr>
                <w:rFonts w:hint="eastAsia" w:ascii="CG Times (WN)" w:hAnsi="CG Times (WN)"/>
              </w:rPr>
              <w:t>2</w:t>
            </w:r>
            <w:r>
              <w:rPr>
                <w:rFonts w:ascii="CG Times (WN)" w:hAnsi="CG Times (WN)"/>
              </w:rPr>
              <w:t xml:space="preserve"> Rx: (</w:t>
            </w:r>
            <w:r>
              <w:rPr>
                <w:rFonts w:hint="eastAsia" w:ascii="CG Times (WN)" w:hAnsi="CG Times (WN)"/>
              </w:rPr>
              <w:t>1</w:t>
            </w:r>
            <w:r>
              <w:rPr>
                <w:rFonts w:ascii="CG Times (WN)" w:hAnsi="CG Times (WN)"/>
              </w:rPr>
              <w:t>,</w:t>
            </w:r>
            <w:r>
              <w:rPr>
                <w:rFonts w:hint="eastAsia" w:ascii="CG Times (WN)" w:hAnsi="CG Times (WN)"/>
              </w:rPr>
              <w:t>1</w:t>
            </w:r>
            <w:r>
              <w:rPr>
                <w:rFonts w:ascii="CG Times (WN)" w:hAnsi="CG Times (WN)"/>
              </w:rPr>
              <w:t>,</w:t>
            </w:r>
            <w:r>
              <w:rPr>
                <w:rFonts w:hint="eastAsia" w:ascii="CG Times (WN)" w:hAnsi="CG Times (WN)"/>
              </w:rPr>
              <w:t>1</w:t>
            </w:r>
            <w:r>
              <w:rPr>
                <w:rFonts w:ascii="CG Times (WN)" w:hAnsi="CG Times (WN)"/>
              </w:rPr>
              <w:t>,1,1), (dH,dV) = (0.5, 0.5)λ</w:t>
            </w:r>
          </w:p>
        </w:tc>
      </w:tr>
      <w:tr w14:paraId="10F298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1AF2A13B">
            <w:pPr>
              <w:rPr>
                <w:rFonts w:ascii="CG Times (WN)" w:hAnsi="CG Times (WN)"/>
              </w:rPr>
            </w:pPr>
            <w:r>
              <w:rPr>
                <w:rFonts w:ascii="CG Times (WN)" w:hAnsi="CG Times (WN)"/>
              </w:rPr>
              <w:t>Number of UEs</w:t>
            </w:r>
          </w:p>
        </w:tc>
        <w:tc>
          <w:tcPr>
            <w:tcW w:w="5233" w:type="dxa"/>
            <w:tcBorders>
              <w:top w:val="single" w:color="000000" w:sz="2" w:space="0"/>
              <w:left w:val="single" w:color="000000" w:sz="2" w:space="0"/>
              <w:bottom w:val="single" w:color="000000" w:sz="2" w:space="0"/>
              <w:right w:val="single" w:color="auto" w:sz="6" w:space="0"/>
            </w:tcBorders>
          </w:tcPr>
          <w:p w14:paraId="6920232E">
            <w:pPr>
              <w:rPr>
                <w:rFonts w:ascii="CG Times (WN)" w:hAnsi="CG Times (WN)"/>
              </w:rPr>
            </w:pPr>
            <w:r>
              <w:rPr>
                <w:rFonts w:ascii="CG Times (WN)" w:hAnsi="CG Times (WN)"/>
              </w:rPr>
              <w:t>1</w:t>
            </w:r>
          </w:p>
        </w:tc>
      </w:tr>
      <w:tr w14:paraId="0CFBBD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45C75804">
            <w:pPr>
              <w:rPr>
                <w:rFonts w:ascii="CG Times (WN)" w:hAnsi="CG Times (WN)"/>
              </w:rPr>
            </w:pPr>
            <w:r>
              <w:rPr>
                <w:rFonts w:hint="eastAsia" w:ascii="CG Times (WN)" w:hAnsi="CG Times (WN)"/>
              </w:rPr>
              <w:t>Direction</w:t>
            </w:r>
          </w:p>
        </w:tc>
        <w:tc>
          <w:tcPr>
            <w:tcW w:w="5233" w:type="dxa"/>
            <w:tcBorders>
              <w:top w:val="single" w:color="000000" w:sz="2" w:space="0"/>
              <w:left w:val="single" w:color="000000" w:sz="2" w:space="0"/>
              <w:bottom w:val="single" w:color="000000" w:sz="2" w:space="0"/>
              <w:right w:val="single" w:color="auto" w:sz="6" w:space="0"/>
            </w:tcBorders>
          </w:tcPr>
          <w:p w14:paraId="0B8874F6">
            <w:pPr>
              <w:rPr>
                <w:rFonts w:ascii="CG Times (WN)" w:hAnsi="CG Times (WN)"/>
              </w:rPr>
            </w:pPr>
            <w:r>
              <w:rPr>
                <w:rFonts w:hint="eastAsia" w:ascii="CG Times (WN)" w:hAnsi="CG Times (WN)"/>
              </w:rPr>
              <w:t>Downlink</w:t>
            </w:r>
          </w:p>
        </w:tc>
      </w:tr>
      <w:tr w14:paraId="5BCB9A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000000" w:sz="2" w:space="0"/>
              <w:right w:val="single" w:color="000000" w:sz="2" w:space="0"/>
            </w:tcBorders>
          </w:tcPr>
          <w:p w14:paraId="309785A8">
            <w:pPr>
              <w:rPr>
                <w:rFonts w:ascii="CG Times (WN)" w:hAnsi="CG Times (WN)"/>
              </w:rPr>
            </w:pPr>
            <w:r>
              <w:rPr>
                <w:rFonts w:ascii="CG Times (WN)" w:hAnsi="CG Times (WN)"/>
              </w:rPr>
              <w:t>Channel model</w:t>
            </w:r>
          </w:p>
        </w:tc>
        <w:tc>
          <w:tcPr>
            <w:tcW w:w="5233" w:type="dxa"/>
            <w:tcBorders>
              <w:top w:val="single" w:color="000000" w:sz="2" w:space="0"/>
              <w:left w:val="single" w:color="000000" w:sz="2" w:space="0"/>
              <w:bottom w:val="single" w:color="000000" w:sz="2" w:space="0"/>
              <w:right w:val="single" w:color="auto" w:sz="6" w:space="0"/>
            </w:tcBorders>
          </w:tcPr>
          <w:p w14:paraId="3FEF5639">
            <w:pPr>
              <w:rPr>
                <w:rFonts w:ascii="CG Times (WN)" w:hAnsi="CG Times (WN)"/>
              </w:rPr>
            </w:pPr>
            <w:r>
              <w:rPr>
                <w:rFonts w:ascii="CG Times (WN)" w:hAnsi="CG Times (WN)"/>
              </w:rPr>
              <w:t>CDL-C in TR38.901</w:t>
            </w:r>
          </w:p>
        </w:tc>
      </w:tr>
      <w:tr w14:paraId="60A342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jc w:val="center"/>
        </w:trPr>
        <w:tc>
          <w:tcPr>
            <w:tcW w:w="3394" w:type="dxa"/>
            <w:tcBorders>
              <w:top w:val="single" w:color="000000" w:sz="2" w:space="0"/>
              <w:left w:val="single" w:color="auto" w:sz="6" w:space="0"/>
              <w:bottom w:val="single" w:color="auto" w:sz="6" w:space="0"/>
              <w:right w:val="single" w:color="000000" w:sz="2" w:space="0"/>
            </w:tcBorders>
          </w:tcPr>
          <w:p w14:paraId="2CF4145F">
            <w:pPr>
              <w:rPr>
                <w:rFonts w:ascii="CG Times (WN)" w:hAnsi="CG Times (WN)"/>
              </w:rPr>
            </w:pPr>
            <w:r>
              <w:rPr>
                <w:rFonts w:ascii="CG Times (WN)" w:hAnsi="CG Times (WN)"/>
              </w:rPr>
              <w:t>UE velocity</w:t>
            </w:r>
          </w:p>
        </w:tc>
        <w:tc>
          <w:tcPr>
            <w:tcW w:w="5233" w:type="dxa"/>
            <w:tcBorders>
              <w:top w:val="single" w:color="000000" w:sz="2" w:space="0"/>
              <w:left w:val="single" w:color="000000" w:sz="2" w:space="0"/>
              <w:bottom w:val="single" w:color="auto" w:sz="6" w:space="0"/>
              <w:right w:val="single" w:color="auto" w:sz="6" w:space="0"/>
            </w:tcBorders>
          </w:tcPr>
          <w:p w14:paraId="2ABE467F">
            <w:pPr>
              <w:rPr>
                <w:rFonts w:ascii="CG Times (WN)" w:hAnsi="CG Times (WN)"/>
              </w:rPr>
            </w:pPr>
            <w:r>
              <w:rPr>
                <w:rFonts w:hint="eastAsia" w:ascii="CG Times (WN)" w:hAnsi="CG Times (WN)"/>
              </w:rPr>
              <w:t>10m/s</w:t>
            </w:r>
          </w:p>
        </w:tc>
      </w:tr>
    </w:tbl>
    <w:p w14:paraId="72405282">
      <w:pPr>
        <w:rPr>
          <w:lang w:eastAsia="zh-CN"/>
        </w:rPr>
      </w:pPr>
    </w:p>
    <w:p w14:paraId="28AA49A0">
      <w:pPr>
        <w:rPr>
          <w:lang w:eastAsia="zh-CN"/>
        </w:rPr>
      </w:pPr>
      <w:r>
        <w:rPr>
          <w:lang w:eastAsia="zh-CN"/>
        </w:rPr>
        <w:t xml:space="preserve">The </w:t>
      </w:r>
      <w:r>
        <w:rPr>
          <w:rFonts w:hint="eastAsia"/>
          <w:lang w:eastAsia="zh-CN"/>
        </w:rPr>
        <w:t xml:space="preserve">throughput </w:t>
      </w:r>
      <w:r>
        <w:rPr>
          <w:lang w:eastAsia="zh-CN"/>
        </w:rPr>
        <w:t xml:space="preserve">performance of the AI receiver with a frequency-domain sparser DMRS configuration is shown in Figure </w:t>
      </w:r>
      <w:r>
        <w:rPr>
          <w:rFonts w:hint="eastAsia"/>
          <w:lang w:eastAsia="zh-CN"/>
        </w:rPr>
        <w:t>5</w:t>
      </w:r>
      <w:r>
        <w:rPr>
          <w:lang w:eastAsia="zh-CN"/>
        </w:rPr>
        <w:t>.</w:t>
      </w:r>
    </w:p>
    <w:p w14:paraId="27D75778">
      <w:pPr>
        <w:pStyle w:val="32"/>
        <w:numPr>
          <w:ilvl w:val="0"/>
          <w:numId w:val="8"/>
        </w:numPr>
        <w:rPr>
          <w:lang w:val="en-US" w:eastAsia="zh-CN"/>
        </w:rPr>
      </w:pPr>
      <w:r>
        <w:rPr>
          <w:lang w:val="en-US" w:eastAsia="zh-CN"/>
        </w:rPr>
        <w:t>Reducing the frequency-domain DMRS density enables</w:t>
      </w:r>
      <w:r>
        <w:rPr>
          <w:rFonts w:hint="eastAsia"/>
          <w:lang w:val="en-US" w:eastAsia="zh-CN"/>
        </w:rPr>
        <w:t xml:space="preserve"> the</w:t>
      </w:r>
      <w:r>
        <w:rPr>
          <w:lang w:val="en-US" w:eastAsia="zh-CN"/>
        </w:rPr>
        <w:t xml:space="preserve"> AI receiver to improve system throughput. Since the AI receiver maintains reliable system performance, lowering the DMRS density frees up resources for data transmission, thereby increasing throughput. The maximum throughput achievable by an AI receiver is determined by the pilot density.</w:t>
      </w:r>
    </w:p>
    <w:p w14:paraId="0B434FFE">
      <w:pPr>
        <w:jc w:val="center"/>
        <w:rPr>
          <w:lang w:eastAsia="zh-CN"/>
        </w:rPr>
      </w:pPr>
      <w:r>
        <w:t xml:space="preserve"> </w:t>
      </w:r>
      <w:r>
        <w:drawing>
          <wp:inline distT="0" distB="0" distL="0" distR="0">
            <wp:extent cx="5100955" cy="2901315"/>
            <wp:effectExtent l="0" t="0" r="4445" b="0"/>
            <wp:docPr id="10235276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527635"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01200" cy="2901600"/>
                    </a:xfrm>
                    <a:prstGeom prst="rect">
                      <a:avLst/>
                    </a:prstGeom>
                    <a:noFill/>
                    <a:ln>
                      <a:noFill/>
                    </a:ln>
                  </pic:spPr>
                </pic:pic>
              </a:graphicData>
            </a:graphic>
          </wp:inline>
        </w:drawing>
      </w:r>
    </w:p>
    <w:p w14:paraId="30607BFF">
      <w:pPr>
        <w:jc w:val="center"/>
        <w:rPr>
          <w:b/>
          <w:bCs/>
          <w:lang w:eastAsia="zh-CN"/>
        </w:rPr>
      </w:pPr>
      <w:r>
        <w:rPr>
          <w:b/>
          <w:bCs/>
          <w:lang w:eastAsia="zh-CN"/>
        </w:rPr>
        <w:t xml:space="preserve">Figure </w:t>
      </w:r>
      <w:r>
        <w:rPr>
          <w:rFonts w:hint="eastAsia"/>
          <w:b/>
          <w:bCs/>
          <w:lang w:eastAsia="zh-CN"/>
        </w:rPr>
        <w:t xml:space="preserve">5: Throughput </w:t>
      </w:r>
      <w:r>
        <w:rPr>
          <w:b/>
          <w:bCs/>
          <w:lang w:eastAsia="zh-CN"/>
        </w:rPr>
        <w:t xml:space="preserve">performance of </w:t>
      </w:r>
      <w:r>
        <w:rPr>
          <w:rFonts w:hint="eastAsia"/>
          <w:b/>
          <w:bCs/>
          <w:lang w:eastAsia="zh-CN"/>
        </w:rPr>
        <w:t>an</w:t>
      </w:r>
      <w:r>
        <w:rPr>
          <w:b/>
          <w:bCs/>
          <w:lang w:eastAsia="zh-CN"/>
        </w:rPr>
        <w:t xml:space="preserve"> AI receiver with a frequency-domain sparser DMRS configuration</w:t>
      </w:r>
    </w:p>
    <w:p w14:paraId="0081AC60">
      <w:pPr>
        <w:rPr>
          <w:lang w:eastAsia="zh-CN"/>
        </w:rPr>
      </w:pPr>
      <w:r>
        <w:rPr>
          <w:lang w:eastAsia="zh-CN"/>
        </w:rPr>
        <w:t>The</w:t>
      </w:r>
      <w:r>
        <w:rPr>
          <w:rFonts w:hint="eastAsia"/>
          <w:lang w:eastAsia="zh-CN"/>
        </w:rPr>
        <w:t xml:space="preserve"> throughput</w:t>
      </w:r>
      <w:r>
        <w:rPr>
          <w:lang w:eastAsia="zh-CN"/>
        </w:rPr>
        <w:t xml:space="preserve"> performance of the AI receiver with a </w:t>
      </w:r>
      <w:r>
        <w:rPr>
          <w:rFonts w:hint="eastAsia"/>
          <w:lang w:eastAsia="zh-CN"/>
        </w:rPr>
        <w:t>time</w:t>
      </w:r>
      <w:r>
        <w:rPr>
          <w:lang w:eastAsia="zh-CN"/>
        </w:rPr>
        <w:t xml:space="preserve">-domain sparser DMRS configuration is shown in Figure </w:t>
      </w:r>
      <w:r>
        <w:rPr>
          <w:rFonts w:hint="eastAsia"/>
          <w:lang w:eastAsia="zh-CN"/>
        </w:rPr>
        <w:t>6</w:t>
      </w:r>
      <w:r>
        <w:rPr>
          <w:lang w:eastAsia="zh-CN"/>
        </w:rPr>
        <w:t>.</w:t>
      </w:r>
    </w:p>
    <w:p w14:paraId="09BE7DF9">
      <w:pPr>
        <w:pStyle w:val="32"/>
        <w:numPr>
          <w:ilvl w:val="0"/>
          <w:numId w:val="8"/>
        </w:numPr>
        <w:rPr>
          <w:lang w:eastAsia="zh-CN"/>
        </w:rPr>
      </w:pPr>
      <w:r>
        <w:rPr>
          <w:lang w:eastAsia="zh-CN"/>
        </w:rPr>
        <w:t>With reduced time-domain DMRS density, the system throughput achieved by the AI receiver is improved. This observation indicates that</w:t>
      </w:r>
      <w:r>
        <w:rPr>
          <w:rFonts w:hint="eastAsia"/>
          <w:lang w:eastAsia="zh-CN"/>
        </w:rPr>
        <w:t xml:space="preserve"> the</w:t>
      </w:r>
      <w:r>
        <w:rPr>
          <w:lang w:eastAsia="zh-CN"/>
        </w:rPr>
        <w:t xml:space="preserve"> AI receiver </w:t>
      </w:r>
      <w:r>
        <w:rPr>
          <w:rFonts w:hint="eastAsia"/>
          <w:lang w:eastAsia="zh-CN"/>
        </w:rPr>
        <w:t>is</w:t>
      </w:r>
      <w:r>
        <w:rPr>
          <w:lang w:eastAsia="zh-CN"/>
        </w:rPr>
        <w:t xml:space="preserve"> capable of reducing time-domain </w:t>
      </w:r>
      <w:r>
        <w:rPr>
          <w:rFonts w:hint="eastAsia"/>
          <w:lang w:eastAsia="zh-CN"/>
        </w:rPr>
        <w:t>DMRS</w:t>
      </w:r>
      <w:r>
        <w:rPr>
          <w:lang w:eastAsia="zh-CN"/>
        </w:rPr>
        <w:t xml:space="preserve"> overhead while maintaining reliable system performance.</w:t>
      </w:r>
    </w:p>
    <w:p w14:paraId="6BF37B8B">
      <w:pPr>
        <w:jc w:val="center"/>
        <w:rPr>
          <w:b/>
          <w:bCs/>
          <w:lang w:eastAsia="zh-CN"/>
        </w:rPr>
      </w:pPr>
    </w:p>
    <w:p w14:paraId="76D770C7">
      <w:pPr>
        <w:jc w:val="center"/>
        <w:rPr>
          <w:lang w:eastAsia="zh-CN"/>
        </w:rPr>
      </w:pPr>
      <w:r>
        <w:drawing>
          <wp:inline distT="0" distB="0" distL="0" distR="0">
            <wp:extent cx="5100955" cy="2901315"/>
            <wp:effectExtent l="0" t="0" r="4445" b="0"/>
            <wp:docPr id="649445635" name="图片 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445635" name="图片 4" descr="图表&#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1200" cy="2901600"/>
                    </a:xfrm>
                    <a:prstGeom prst="rect">
                      <a:avLst/>
                    </a:prstGeom>
                    <a:noFill/>
                    <a:ln>
                      <a:noFill/>
                    </a:ln>
                  </pic:spPr>
                </pic:pic>
              </a:graphicData>
            </a:graphic>
          </wp:inline>
        </w:drawing>
      </w:r>
    </w:p>
    <w:p w14:paraId="420E6C77">
      <w:pPr>
        <w:jc w:val="center"/>
        <w:rPr>
          <w:b/>
          <w:bCs/>
          <w:lang w:eastAsia="zh-CN"/>
        </w:rPr>
      </w:pPr>
      <w:r>
        <w:rPr>
          <w:rFonts w:hint="eastAsia"/>
          <w:b/>
          <w:bCs/>
          <w:lang w:eastAsia="zh-CN"/>
        </w:rPr>
        <w:t xml:space="preserve">Figure 6: Throughput </w:t>
      </w:r>
      <w:r>
        <w:rPr>
          <w:b/>
          <w:bCs/>
          <w:lang w:eastAsia="zh-CN"/>
        </w:rPr>
        <w:t xml:space="preserve">performance of </w:t>
      </w:r>
      <w:r>
        <w:rPr>
          <w:rFonts w:hint="eastAsia"/>
          <w:b/>
          <w:bCs/>
          <w:lang w:eastAsia="zh-CN"/>
        </w:rPr>
        <w:t>an</w:t>
      </w:r>
      <w:r>
        <w:rPr>
          <w:b/>
          <w:bCs/>
          <w:lang w:eastAsia="zh-CN"/>
        </w:rPr>
        <w:t xml:space="preserve"> AI receiver with a </w:t>
      </w:r>
      <w:r>
        <w:rPr>
          <w:rFonts w:hint="eastAsia"/>
          <w:b/>
          <w:bCs/>
          <w:lang w:eastAsia="zh-CN"/>
        </w:rPr>
        <w:t>time</w:t>
      </w:r>
      <w:r>
        <w:rPr>
          <w:b/>
          <w:bCs/>
          <w:lang w:eastAsia="zh-CN"/>
        </w:rPr>
        <w:t>-domain sparser DMRS configuration</w:t>
      </w:r>
    </w:p>
    <w:p w14:paraId="3E63F9E8">
      <w:pPr>
        <w:pStyle w:val="13"/>
        <w:spacing w:beforeAutospacing="1" w:after="0" w:afterAutospacing="1"/>
        <w:rPr>
          <w:sz w:val="20"/>
          <w:szCs w:val="20"/>
        </w:rPr>
      </w:pPr>
      <w:r>
        <w:rPr>
          <w:b/>
          <w:bCs/>
          <w:sz w:val="20"/>
          <w:szCs w:val="20"/>
        </w:rPr>
        <w:t xml:space="preserve">Observation </w:t>
      </w:r>
      <w:r>
        <w:rPr>
          <w:rFonts w:hint="eastAsia"/>
          <w:b/>
          <w:bCs/>
          <w:sz w:val="20"/>
          <w:szCs w:val="20"/>
          <w:lang w:eastAsia="zh-CN"/>
        </w:rPr>
        <w:t>3</w:t>
      </w:r>
      <w:r>
        <w:rPr>
          <w:b/>
          <w:bCs/>
          <w:sz w:val="20"/>
          <w:szCs w:val="20"/>
        </w:rPr>
        <w:t xml:space="preserve">: </w:t>
      </w:r>
      <w:r>
        <w:rPr>
          <w:rFonts w:hint="eastAsia"/>
          <w:b/>
          <w:bCs/>
          <w:sz w:val="20"/>
          <w:szCs w:val="20"/>
          <w:lang w:eastAsia="zh-CN"/>
        </w:rPr>
        <w:t>The</w:t>
      </w:r>
      <w:r>
        <w:rPr>
          <w:rFonts w:hint="eastAsia"/>
          <w:sz w:val="20"/>
          <w:szCs w:val="20"/>
          <w:lang w:eastAsia="zh-CN"/>
        </w:rPr>
        <w:t xml:space="preserve"> </w:t>
      </w:r>
      <w:r>
        <w:rPr>
          <w:b/>
          <w:bCs/>
          <w:sz w:val="20"/>
          <w:szCs w:val="20"/>
        </w:rPr>
        <w:t xml:space="preserve">AI receiver </w:t>
      </w:r>
      <w:r>
        <w:rPr>
          <w:rFonts w:hint="eastAsia"/>
          <w:b/>
          <w:bCs/>
          <w:sz w:val="20"/>
          <w:szCs w:val="20"/>
          <w:lang w:eastAsia="zh-CN"/>
        </w:rPr>
        <w:t>is</w:t>
      </w:r>
      <w:r>
        <w:rPr>
          <w:b/>
          <w:bCs/>
          <w:sz w:val="20"/>
          <w:szCs w:val="20"/>
        </w:rPr>
        <w:t xml:space="preserve"> capable of reducing DMRS overhead.</w:t>
      </w:r>
    </w:p>
    <w:p w14:paraId="1C77099B">
      <w:pPr>
        <w:rPr>
          <w:b/>
          <w:bCs/>
          <w:lang w:eastAsia="zh-CN"/>
        </w:rPr>
      </w:pPr>
      <w:r>
        <w:rPr>
          <w:rFonts w:hint="eastAsia"/>
          <w:b/>
          <w:bCs/>
          <w:lang w:eastAsia="zh-CN"/>
        </w:rPr>
        <w:t>Proposal</w:t>
      </w:r>
      <w:r>
        <w:rPr>
          <w:rFonts w:hint="eastAsia"/>
          <w:b/>
          <w:bCs/>
          <w:lang w:val="en-US" w:eastAsia="zh-CN"/>
        </w:rPr>
        <w:t xml:space="preserve"> 1</w:t>
      </w:r>
      <w:r>
        <w:rPr>
          <w:rFonts w:hint="eastAsia"/>
          <w:b/>
          <w:bCs/>
          <w:lang w:eastAsia="zh-CN"/>
        </w:rPr>
        <w:t xml:space="preserve">: </w:t>
      </w:r>
      <w:r>
        <w:rPr>
          <w:b/>
          <w:bCs/>
          <w:lang w:eastAsia="zh-CN"/>
        </w:rPr>
        <w:t>Study on Sparse Orthogonal DMRS</w:t>
      </w:r>
      <w:r>
        <w:rPr>
          <w:rFonts w:hint="eastAsia"/>
          <w:b/>
          <w:bCs/>
          <w:lang w:eastAsia="zh-CN"/>
        </w:rPr>
        <w:t xml:space="preserve"> in </w:t>
      </w:r>
      <w:r>
        <w:rPr>
          <w:b/>
          <w:bCs/>
          <w:lang w:eastAsia="zh-CN"/>
        </w:rPr>
        <w:t>Time</w:t>
      </w:r>
      <w:r>
        <w:rPr>
          <w:rFonts w:hint="eastAsia"/>
          <w:b/>
          <w:bCs/>
          <w:lang w:eastAsia="zh-CN"/>
        </w:rPr>
        <w:t>/</w:t>
      </w:r>
      <w:r>
        <w:rPr>
          <w:b/>
          <w:bCs/>
          <w:lang w:eastAsia="zh-CN"/>
        </w:rPr>
        <w:t>Frequency</w:t>
      </w:r>
      <w:r>
        <w:rPr>
          <w:rFonts w:hint="eastAsia"/>
          <w:b/>
          <w:bCs/>
          <w:lang w:eastAsia="zh-CN"/>
        </w:rPr>
        <w:t>/</w:t>
      </w:r>
      <w:r>
        <w:rPr>
          <w:b/>
          <w:bCs/>
          <w:lang w:eastAsia="zh-CN"/>
        </w:rPr>
        <w:t>Spatial</w:t>
      </w:r>
      <w:r>
        <w:rPr>
          <w:rFonts w:hint="eastAsia"/>
          <w:b/>
          <w:bCs/>
          <w:lang w:eastAsia="zh-CN"/>
        </w:rPr>
        <w:t xml:space="preserve"> </w:t>
      </w:r>
      <w:r>
        <w:rPr>
          <w:b/>
          <w:bCs/>
          <w:lang w:eastAsia="zh-CN"/>
        </w:rPr>
        <w:t>Domain</w:t>
      </w:r>
      <w:r>
        <w:rPr>
          <w:rFonts w:hint="eastAsia"/>
          <w:b/>
          <w:bCs/>
          <w:lang w:eastAsia="zh-CN"/>
        </w:rPr>
        <w:t xml:space="preserve"> with</w:t>
      </w:r>
      <w:r>
        <w:rPr>
          <w:b/>
          <w:bCs/>
          <w:lang w:eastAsia="zh-CN"/>
        </w:rPr>
        <w:t xml:space="preserve"> AI Receiver for </w:t>
      </w:r>
      <w:r>
        <w:rPr>
          <w:rFonts w:hint="eastAsia"/>
          <w:b/>
          <w:bCs/>
          <w:lang w:eastAsia="zh-CN"/>
        </w:rPr>
        <w:t xml:space="preserve">DMRS </w:t>
      </w:r>
      <w:r>
        <w:rPr>
          <w:b/>
          <w:bCs/>
          <w:lang w:eastAsia="zh-CN"/>
        </w:rPr>
        <w:t>Overhead Reduction</w:t>
      </w:r>
      <w:r>
        <w:rPr>
          <w:rFonts w:hint="eastAsia"/>
          <w:b/>
          <w:bCs/>
          <w:lang w:eastAsia="zh-CN"/>
        </w:rPr>
        <w:t>.</w:t>
      </w:r>
    </w:p>
    <w:p w14:paraId="1DB84E5C">
      <w:pPr>
        <w:pStyle w:val="2"/>
        <w:numPr>
          <w:ilvl w:val="0"/>
          <w:numId w:val="2"/>
        </w:numPr>
      </w:pPr>
      <w:r>
        <w:rPr>
          <w:rFonts w:hint="eastAsia"/>
        </w:rPr>
        <w:t>Summary</w:t>
      </w:r>
      <w:r>
        <w:t xml:space="preserve"> </w:t>
      </w:r>
    </w:p>
    <w:p w14:paraId="42A2EB1A">
      <w:pPr>
        <w:pStyle w:val="13"/>
        <w:spacing w:beforeAutospacing="1" w:after="0" w:afterAutospacing="1"/>
        <w:rPr>
          <w:rFonts w:ascii="Times New Roman Bold" w:hAnsi="Times New Roman Bold" w:cs="Times New Roman Bold"/>
          <w:b/>
          <w:bCs/>
          <w:sz w:val="20"/>
          <w:szCs w:val="20"/>
        </w:rPr>
      </w:pPr>
      <w:r>
        <w:rPr>
          <w:rFonts w:ascii="Times New Roman Bold" w:hAnsi="Times New Roman Bold" w:cs="Times New Roman Bold"/>
          <w:b/>
          <w:bCs/>
          <w:sz w:val="20"/>
          <w:szCs w:val="20"/>
          <w:lang w:eastAsia="zh-CN"/>
        </w:rPr>
        <w:t>Observation 1: AI/ML techniques have the potential to achieve comparable or improved performance compared to traditional channel estimation methods with sparser DMRS configurations</w:t>
      </w:r>
      <w:r>
        <w:rPr>
          <w:rFonts w:ascii="Times New Roman Bold" w:hAnsi="Times New Roman Bold" w:cs="Times New Roman Bold"/>
          <w:b/>
          <w:bCs/>
          <w:sz w:val="20"/>
          <w:szCs w:val="20"/>
        </w:rPr>
        <w:t>.</w:t>
      </w:r>
    </w:p>
    <w:p w14:paraId="7F220973">
      <w:pPr>
        <w:pStyle w:val="13"/>
        <w:spacing w:beforeAutospacing="1" w:after="0" w:afterAutospacing="1"/>
        <w:rPr>
          <w:sz w:val="20"/>
          <w:szCs w:val="20"/>
        </w:rPr>
      </w:pPr>
      <w:r>
        <w:rPr>
          <w:b/>
          <w:bCs/>
          <w:sz w:val="20"/>
          <w:szCs w:val="20"/>
        </w:rPr>
        <w:t xml:space="preserve">Observation </w:t>
      </w:r>
      <w:r>
        <w:rPr>
          <w:rFonts w:hint="eastAsia"/>
          <w:b/>
          <w:bCs/>
          <w:sz w:val="20"/>
          <w:szCs w:val="20"/>
          <w:lang w:eastAsia="zh-CN"/>
        </w:rPr>
        <w:t>2</w:t>
      </w:r>
      <w:r>
        <w:rPr>
          <w:b/>
          <w:bCs/>
          <w:sz w:val="20"/>
          <w:szCs w:val="20"/>
        </w:rPr>
        <w:t xml:space="preserve">: </w:t>
      </w:r>
      <w:r>
        <w:rPr>
          <w:rFonts w:hint="eastAsia"/>
          <w:b/>
          <w:bCs/>
          <w:sz w:val="20"/>
          <w:szCs w:val="20"/>
          <w:lang w:eastAsia="zh-CN"/>
        </w:rPr>
        <w:t xml:space="preserve">The </w:t>
      </w:r>
      <w:r>
        <w:rPr>
          <w:b/>
          <w:bCs/>
          <w:sz w:val="20"/>
          <w:szCs w:val="20"/>
        </w:rPr>
        <w:t>AI</w:t>
      </w:r>
      <w:r>
        <w:rPr>
          <w:rFonts w:hint="eastAsia"/>
          <w:b/>
          <w:bCs/>
          <w:sz w:val="20"/>
          <w:szCs w:val="20"/>
          <w:lang w:eastAsia="zh-CN"/>
        </w:rPr>
        <w:t xml:space="preserve"> </w:t>
      </w:r>
      <w:r>
        <w:rPr>
          <w:b/>
          <w:bCs/>
          <w:sz w:val="20"/>
          <w:szCs w:val="20"/>
        </w:rPr>
        <w:t>receiver can improve system performance compared to</w:t>
      </w:r>
      <w:r>
        <w:rPr>
          <w:rFonts w:hint="eastAsia"/>
          <w:b/>
          <w:bCs/>
          <w:sz w:val="20"/>
          <w:szCs w:val="20"/>
          <w:lang w:eastAsia="zh-CN"/>
        </w:rPr>
        <w:t xml:space="preserve"> the</w:t>
      </w:r>
      <w:r>
        <w:rPr>
          <w:b/>
          <w:bCs/>
          <w:sz w:val="20"/>
          <w:szCs w:val="20"/>
        </w:rPr>
        <w:t xml:space="preserve"> conventional receiver, particularly under scenarios with </w:t>
      </w:r>
      <w:r>
        <w:rPr>
          <w:b/>
          <w:bCs/>
          <w:color w:val="000000" w:themeColor="text1"/>
          <w:sz w:val="20"/>
          <w:szCs w:val="20"/>
          <w14:textFill>
            <w14:solidFill>
              <w14:schemeClr w14:val="tx1"/>
            </w14:solidFill>
          </w14:textFill>
        </w:rPr>
        <w:t>fast-fading</w:t>
      </w:r>
      <w:r>
        <w:rPr>
          <w:b/>
          <w:bCs/>
          <w:sz w:val="20"/>
          <w:szCs w:val="20"/>
        </w:rPr>
        <w:t xml:space="preserve"> channels.</w:t>
      </w:r>
    </w:p>
    <w:p w14:paraId="57D18C25">
      <w:pPr>
        <w:pStyle w:val="13"/>
        <w:spacing w:beforeAutospacing="1" w:after="0" w:afterAutospacing="1"/>
        <w:rPr>
          <w:sz w:val="20"/>
          <w:szCs w:val="20"/>
        </w:rPr>
      </w:pPr>
      <w:r>
        <w:rPr>
          <w:b/>
          <w:bCs/>
          <w:sz w:val="20"/>
          <w:szCs w:val="20"/>
        </w:rPr>
        <w:t xml:space="preserve">Observation </w:t>
      </w:r>
      <w:r>
        <w:rPr>
          <w:rFonts w:hint="eastAsia"/>
          <w:b/>
          <w:bCs/>
          <w:sz w:val="20"/>
          <w:szCs w:val="20"/>
          <w:lang w:eastAsia="zh-CN"/>
        </w:rPr>
        <w:t>3</w:t>
      </w:r>
      <w:r>
        <w:rPr>
          <w:b/>
          <w:bCs/>
          <w:sz w:val="20"/>
          <w:szCs w:val="20"/>
        </w:rPr>
        <w:t xml:space="preserve">: </w:t>
      </w:r>
      <w:r>
        <w:rPr>
          <w:rFonts w:hint="eastAsia"/>
          <w:b/>
          <w:bCs/>
          <w:sz w:val="20"/>
          <w:szCs w:val="20"/>
          <w:lang w:eastAsia="zh-CN"/>
        </w:rPr>
        <w:t xml:space="preserve">The </w:t>
      </w:r>
      <w:r>
        <w:rPr>
          <w:b/>
          <w:bCs/>
          <w:sz w:val="20"/>
          <w:szCs w:val="20"/>
        </w:rPr>
        <w:t xml:space="preserve">AI receiver </w:t>
      </w:r>
      <w:r>
        <w:rPr>
          <w:rFonts w:hint="eastAsia"/>
          <w:b/>
          <w:bCs/>
          <w:sz w:val="20"/>
          <w:szCs w:val="20"/>
          <w:lang w:eastAsia="zh-CN"/>
        </w:rPr>
        <w:t>is</w:t>
      </w:r>
      <w:r>
        <w:rPr>
          <w:b/>
          <w:bCs/>
          <w:sz w:val="20"/>
          <w:szCs w:val="20"/>
        </w:rPr>
        <w:t xml:space="preserve"> capable of reducing DMRS overhead.</w:t>
      </w:r>
    </w:p>
    <w:p w14:paraId="1CFA3B97">
      <w:pPr>
        <w:pStyle w:val="13"/>
        <w:spacing w:beforeAutospacing="1" w:after="0" w:afterAutospacing="1"/>
        <w:rPr>
          <w:rFonts w:ascii="Times New Roman Bold" w:hAnsi="Times New Roman Bold" w:cs="Times New Roman Bold"/>
          <w:b/>
          <w:bCs/>
          <w:sz w:val="20"/>
          <w:szCs w:val="20"/>
          <w:lang w:eastAsia="zh-CN"/>
        </w:rPr>
      </w:pPr>
      <w:r>
        <w:rPr>
          <w:rFonts w:ascii="Times New Roman Bold" w:hAnsi="Times New Roman Bold" w:cs="Times New Roman Bold"/>
          <w:b/>
          <w:bCs/>
          <w:sz w:val="20"/>
          <w:szCs w:val="20"/>
          <w:lang w:eastAsia="zh-CN"/>
        </w:rPr>
        <w:t>Proposal</w:t>
      </w:r>
      <w:r>
        <w:rPr>
          <w:rFonts w:hint="eastAsia" w:ascii="Times New Roman Bold" w:hAnsi="Times New Roman Bold" w:cs="Times New Roman Bold"/>
          <w:b/>
          <w:bCs/>
          <w:sz w:val="20"/>
          <w:szCs w:val="20"/>
          <w:lang w:val="en-US" w:eastAsia="zh-CN"/>
        </w:rPr>
        <w:t xml:space="preserve"> 1</w:t>
      </w:r>
      <w:r>
        <w:rPr>
          <w:rFonts w:ascii="Times New Roman Bold" w:hAnsi="Times New Roman Bold" w:cs="Times New Roman Bold"/>
          <w:b/>
          <w:bCs/>
          <w:sz w:val="20"/>
          <w:szCs w:val="20"/>
          <w:lang w:eastAsia="zh-CN"/>
        </w:rPr>
        <w:t>: Study on Sparse Orthogonal DMRS in Time/Frequency/Spatial Domain with AI Receiver for DMRS Overhead Reduction.</w:t>
      </w:r>
    </w:p>
    <w:p w14:paraId="46CCC2A8">
      <w:pPr>
        <w:pStyle w:val="2"/>
      </w:pPr>
      <w:r>
        <w:t>References</w:t>
      </w:r>
    </w:p>
    <w:p w14:paraId="385486B7">
      <w:pPr>
        <w:pStyle w:val="32"/>
        <w:numPr>
          <w:ilvl w:val="0"/>
          <w:numId w:val="9"/>
        </w:numPr>
        <w:rPr>
          <w:color w:val="000000" w:themeColor="text1"/>
          <w14:textFill>
            <w14:solidFill>
              <w14:schemeClr w14:val="tx1"/>
            </w14:solidFill>
          </w14:textFill>
        </w:rPr>
      </w:pPr>
      <w:r>
        <w:rPr>
          <w:color w:val="000000" w:themeColor="text1"/>
          <w14:textFill>
            <w14:solidFill>
              <w14:schemeClr w14:val="tx1"/>
            </w14:solidFill>
          </w14:textFill>
        </w:rPr>
        <w:t>RP-251881, “New SID: Study on 6G Radio,</w:t>
      </w:r>
      <w:r>
        <w:rPr>
          <w:color w:val="000000" w:themeColor="text1"/>
          <w:lang w:eastAsia="zh-CN"/>
          <w14:textFill>
            <w14:solidFill>
              <w14:schemeClr w14:val="tx1"/>
            </w14:solidFill>
          </w14:textFill>
        </w:rPr>
        <w:t>”</w:t>
      </w:r>
      <w:r>
        <w:rPr>
          <w:color w:val="000000" w:themeColor="text1"/>
          <w14:textFill>
            <w14:solidFill>
              <w14:schemeClr w14:val="tx1"/>
            </w14:solidFill>
          </w14:textFill>
        </w:rPr>
        <w:t xml:space="preserve"> NTT DOCOMO (Moderator), 3GPP TSG RAN Meeting #108, Prague, Czech Republic, June 9-13, 2025.</w:t>
      </w:r>
    </w:p>
    <w:p w14:paraId="1DC0F299">
      <w:pPr>
        <w:pStyle w:val="32"/>
        <w:numPr>
          <w:ilvl w:val="0"/>
          <w:numId w:val="9"/>
        </w:numPr>
        <w:spacing w:before="100" w:beforeAutospacing="1" w:after="0"/>
        <w:ind w:left="714" w:hanging="357"/>
        <w:rPr>
          <w:color w:val="000000" w:themeColor="text1"/>
          <w14:textFill>
            <w14:solidFill>
              <w14:schemeClr w14:val="tx1"/>
            </w14:solidFill>
          </w14:textFill>
        </w:rPr>
      </w:pPr>
      <w:r>
        <w:rPr>
          <w:color w:val="000000" w:themeColor="text1"/>
          <w14:textFill>
            <w14:solidFill>
              <w14:schemeClr w14:val="tx1"/>
            </w14:solidFill>
          </w14:textFill>
        </w:rPr>
        <w:t>R1-2509598</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“Moderator summary #5 on AI/ML for 6GR”</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Samsung</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(Moderator)</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3GPP TSG-RAN WG1 Meeting #123</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Dallas, USA, November</w:t>
      </w:r>
      <w:r>
        <w:rPr>
          <w:rFonts w:hint="eastAsia"/>
          <w:color w:val="000000" w:themeColor="text1"/>
          <w:lang w:eastAsia="zh-CN"/>
          <w14:textFill>
            <w14:solidFill>
              <w14:schemeClr w14:val="tx1"/>
            </w14:solidFill>
          </w14:textFill>
        </w:rPr>
        <w:t xml:space="preserve"> </w:t>
      </w:r>
      <w:r>
        <w:rPr>
          <w:rFonts w:eastAsia="等线"/>
          <w:color w:val="000000" w:themeColor="text1"/>
          <w:lang w:eastAsia="ko-KR"/>
          <w14:textFill>
            <w14:solidFill>
              <w14:schemeClr w14:val="tx1"/>
            </w14:solidFill>
          </w14:textFill>
        </w:rPr>
        <w:t>17–21</w:t>
      </w:r>
      <w:r>
        <w:rPr>
          <w:rFonts w:hint="eastAsia" w:eastAsia="等线"/>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2025</w:t>
      </w:r>
      <w:r>
        <w:rPr>
          <w:rFonts w:hint="eastAsia"/>
          <w:color w:val="000000" w:themeColor="text1"/>
          <w:lang w:eastAsia="zh-CN"/>
          <w14:textFill>
            <w14:solidFill>
              <w14:schemeClr w14:val="tx1"/>
            </w14:solidFill>
          </w14:textFill>
        </w:rPr>
        <w:t>.</w:t>
      </w:r>
    </w:p>
    <w:p w14:paraId="0E27A270">
      <w:pPr>
        <w:pStyle w:val="48"/>
        <w:numPr>
          <w:ilvl w:val="0"/>
          <w:numId w:val="9"/>
        </w:numPr>
        <w:rPr>
          <w:rFonts w:ascii="Times New Roman" w:hAnsi="Times New Roman"/>
        </w:rPr>
      </w:pPr>
      <w:bookmarkStart w:id="1" w:name="_Ref203144413"/>
      <w:r>
        <w:rPr>
          <w:rFonts w:ascii="Times New Roman" w:hAnsi="Times New Roman"/>
        </w:rPr>
        <w:t>F. Ait Aoudia and J. Hoydis, “End-to-End Learning for OFDM: From Neural Receivers to Pilotless Communication,” IEEE Transactions on Wireless Communications, vol. 21, no. 2, pp. 1049-1063, Feb. 2022</w:t>
      </w:r>
      <w:bookmarkEnd w:id="1"/>
      <w:r>
        <w:rPr>
          <w:rFonts w:hint="eastAsia" w:ascii="Times New Roman" w:hAnsi="Times New Roman" w:eastAsiaTheme="minorEastAsia"/>
          <w:lang w:eastAsia="zh-CN"/>
        </w:rPr>
        <w:t>.</w:t>
      </w: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CDF">
    <w:pPr>
      <w:pStyle w:val="11"/>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7B613"/>
    <w:multiLevelType w:val="multilevel"/>
    <w:tmpl w:val="ED87B61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0E"/>
    <w:multiLevelType w:val="multilevel"/>
    <w:tmpl w:val="000000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11702CDC"/>
    <w:multiLevelType w:val="multilevel"/>
    <w:tmpl w:val="11702CD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9C41D9F"/>
    <w:multiLevelType w:val="multilevel"/>
    <w:tmpl w:val="19C41D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629320F"/>
    <w:multiLevelType w:val="multilevel"/>
    <w:tmpl w:val="5629320F"/>
    <w:lvl w:ilvl="0" w:tentative="0">
      <w:start w:val="1"/>
      <w:numFmt w:val="bullet"/>
      <w:lvlText w:val=""/>
      <w:lvlJc w:val="left"/>
      <w:pPr>
        <w:ind w:left="720" w:hanging="360"/>
      </w:pPr>
      <w:rPr>
        <w:rFonts w:hint="default" w:ascii="Symbol" w:hAnsi="Symbol"/>
        <w:strike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0A60209"/>
    <w:multiLevelType w:val="multilevel"/>
    <w:tmpl w:val="60A60209"/>
    <w:lvl w:ilvl="0" w:tentative="0">
      <w:start w:val="1"/>
      <w:numFmt w:val="bullet"/>
      <w:suff w:val="space"/>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5"/>
  </w:num>
  <w:num w:numId="2">
    <w:abstractNumId w:val="0"/>
  </w:num>
  <w:num w:numId="3">
    <w:abstractNumId w:val="8"/>
  </w:num>
  <w:num w:numId="4">
    <w:abstractNumId w:val="2"/>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8DB"/>
    <w:rsid w:val="00002395"/>
    <w:rsid w:val="00002521"/>
    <w:rsid w:val="00002D60"/>
    <w:rsid w:val="00004E98"/>
    <w:rsid w:val="000052CE"/>
    <w:rsid w:val="00007B5B"/>
    <w:rsid w:val="0001074A"/>
    <w:rsid w:val="00014C4D"/>
    <w:rsid w:val="000178DE"/>
    <w:rsid w:val="000203CE"/>
    <w:rsid w:val="00022E82"/>
    <w:rsid w:val="00023B6E"/>
    <w:rsid w:val="00027176"/>
    <w:rsid w:val="00027ED3"/>
    <w:rsid w:val="000311F0"/>
    <w:rsid w:val="00032848"/>
    <w:rsid w:val="00035DDA"/>
    <w:rsid w:val="00036CB2"/>
    <w:rsid w:val="00040FCA"/>
    <w:rsid w:val="00042FB3"/>
    <w:rsid w:val="00046AA2"/>
    <w:rsid w:val="000477F9"/>
    <w:rsid w:val="00052291"/>
    <w:rsid w:val="00052353"/>
    <w:rsid w:val="000536EE"/>
    <w:rsid w:val="000554B6"/>
    <w:rsid w:val="000559C6"/>
    <w:rsid w:val="000579A6"/>
    <w:rsid w:val="00060DD4"/>
    <w:rsid w:val="000631A6"/>
    <w:rsid w:val="00063DE1"/>
    <w:rsid w:val="000666EB"/>
    <w:rsid w:val="000766D2"/>
    <w:rsid w:val="0007692F"/>
    <w:rsid w:val="0008599E"/>
    <w:rsid w:val="00093981"/>
    <w:rsid w:val="000A0CF8"/>
    <w:rsid w:val="000A6644"/>
    <w:rsid w:val="000B3481"/>
    <w:rsid w:val="000C0A5D"/>
    <w:rsid w:val="000C3E8C"/>
    <w:rsid w:val="000C5679"/>
    <w:rsid w:val="000C7CC2"/>
    <w:rsid w:val="000D08D9"/>
    <w:rsid w:val="000D1305"/>
    <w:rsid w:val="000D5C25"/>
    <w:rsid w:val="000D694F"/>
    <w:rsid w:val="000D6E51"/>
    <w:rsid w:val="000E073A"/>
    <w:rsid w:val="000E4A9C"/>
    <w:rsid w:val="000E79B6"/>
    <w:rsid w:val="000E7E50"/>
    <w:rsid w:val="000F23C7"/>
    <w:rsid w:val="000F4695"/>
    <w:rsid w:val="0011160D"/>
    <w:rsid w:val="0011532A"/>
    <w:rsid w:val="0011629F"/>
    <w:rsid w:val="00121FC9"/>
    <w:rsid w:val="00123677"/>
    <w:rsid w:val="001309B2"/>
    <w:rsid w:val="00133828"/>
    <w:rsid w:val="00133A10"/>
    <w:rsid w:val="001348EC"/>
    <w:rsid w:val="00136033"/>
    <w:rsid w:val="00137311"/>
    <w:rsid w:val="00141C65"/>
    <w:rsid w:val="00145F51"/>
    <w:rsid w:val="0014763B"/>
    <w:rsid w:val="001478AC"/>
    <w:rsid w:val="00147A44"/>
    <w:rsid w:val="001519E4"/>
    <w:rsid w:val="00152174"/>
    <w:rsid w:val="0015414D"/>
    <w:rsid w:val="00156C77"/>
    <w:rsid w:val="001572AF"/>
    <w:rsid w:val="00157832"/>
    <w:rsid w:val="00161DCD"/>
    <w:rsid w:val="00164BC2"/>
    <w:rsid w:val="0017095C"/>
    <w:rsid w:val="00175A38"/>
    <w:rsid w:val="00180C2A"/>
    <w:rsid w:val="00182818"/>
    <w:rsid w:val="00183E6D"/>
    <w:rsid w:val="001856F5"/>
    <w:rsid w:val="00192C21"/>
    <w:rsid w:val="001A1955"/>
    <w:rsid w:val="001A1F00"/>
    <w:rsid w:val="001A4DBE"/>
    <w:rsid w:val="001A67C7"/>
    <w:rsid w:val="001A6F35"/>
    <w:rsid w:val="001B0717"/>
    <w:rsid w:val="001B7BA3"/>
    <w:rsid w:val="001C0781"/>
    <w:rsid w:val="001C2BBA"/>
    <w:rsid w:val="001C5796"/>
    <w:rsid w:val="001D0387"/>
    <w:rsid w:val="001D0F3C"/>
    <w:rsid w:val="001D1928"/>
    <w:rsid w:val="001D3258"/>
    <w:rsid w:val="001D4BB8"/>
    <w:rsid w:val="001D51EB"/>
    <w:rsid w:val="0020355C"/>
    <w:rsid w:val="002044DB"/>
    <w:rsid w:val="0020540C"/>
    <w:rsid w:val="00205C37"/>
    <w:rsid w:val="0020702C"/>
    <w:rsid w:val="00207366"/>
    <w:rsid w:val="00212FF8"/>
    <w:rsid w:val="00213261"/>
    <w:rsid w:val="00213649"/>
    <w:rsid w:val="00213E82"/>
    <w:rsid w:val="0021413D"/>
    <w:rsid w:val="002151DD"/>
    <w:rsid w:val="00217543"/>
    <w:rsid w:val="00221199"/>
    <w:rsid w:val="00222378"/>
    <w:rsid w:val="00225AC9"/>
    <w:rsid w:val="002333F9"/>
    <w:rsid w:val="002370C2"/>
    <w:rsid w:val="00237675"/>
    <w:rsid w:val="00241B8D"/>
    <w:rsid w:val="0024301D"/>
    <w:rsid w:val="00243513"/>
    <w:rsid w:val="00245733"/>
    <w:rsid w:val="00246813"/>
    <w:rsid w:val="0026303B"/>
    <w:rsid w:val="00264F3E"/>
    <w:rsid w:val="00283791"/>
    <w:rsid w:val="00284AF9"/>
    <w:rsid w:val="00287004"/>
    <w:rsid w:val="00290041"/>
    <w:rsid w:val="00293B41"/>
    <w:rsid w:val="002A165C"/>
    <w:rsid w:val="002A2625"/>
    <w:rsid w:val="002A6C76"/>
    <w:rsid w:val="002A746C"/>
    <w:rsid w:val="002B1164"/>
    <w:rsid w:val="002C34F7"/>
    <w:rsid w:val="002C4025"/>
    <w:rsid w:val="002D2057"/>
    <w:rsid w:val="002D2FBA"/>
    <w:rsid w:val="002D32AB"/>
    <w:rsid w:val="002D4406"/>
    <w:rsid w:val="002E0CF4"/>
    <w:rsid w:val="002E1D46"/>
    <w:rsid w:val="002E22E1"/>
    <w:rsid w:val="002E36CB"/>
    <w:rsid w:val="002E4972"/>
    <w:rsid w:val="002F0521"/>
    <w:rsid w:val="002F225E"/>
    <w:rsid w:val="002F405E"/>
    <w:rsid w:val="002F5D65"/>
    <w:rsid w:val="002F7906"/>
    <w:rsid w:val="00304FFE"/>
    <w:rsid w:val="00305892"/>
    <w:rsid w:val="00312189"/>
    <w:rsid w:val="00312602"/>
    <w:rsid w:val="003160F7"/>
    <w:rsid w:val="00321EA2"/>
    <w:rsid w:val="00325FA9"/>
    <w:rsid w:val="0032723F"/>
    <w:rsid w:val="0033185B"/>
    <w:rsid w:val="00331C2A"/>
    <w:rsid w:val="00337525"/>
    <w:rsid w:val="00342EC6"/>
    <w:rsid w:val="00346BE9"/>
    <w:rsid w:val="00350535"/>
    <w:rsid w:val="003517D8"/>
    <w:rsid w:val="0035280A"/>
    <w:rsid w:val="00356B02"/>
    <w:rsid w:val="00364286"/>
    <w:rsid w:val="003650DF"/>
    <w:rsid w:val="00365351"/>
    <w:rsid w:val="0036640F"/>
    <w:rsid w:val="00366A62"/>
    <w:rsid w:val="00373D00"/>
    <w:rsid w:val="00374BF0"/>
    <w:rsid w:val="00376A94"/>
    <w:rsid w:val="003847E6"/>
    <w:rsid w:val="0038573B"/>
    <w:rsid w:val="003857EB"/>
    <w:rsid w:val="00386A7A"/>
    <w:rsid w:val="0039121E"/>
    <w:rsid w:val="003A4B80"/>
    <w:rsid w:val="003A6A31"/>
    <w:rsid w:val="003B4FDE"/>
    <w:rsid w:val="003C02C8"/>
    <w:rsid w:val="003C6C6F"/>
    <w:rsid w:val="003D1AB8"/>
    <w:rsid w:val="003D27AB"/>
    <w:rsid w:val="003D4DD1"/>
    <w:rsid w:val="003D7482"/>
    <w:rsid w:val="003E7EEB"/>
    <w:rsid w:val="003F6092"/>
    <w:rsid w:val="003F711C"/>
    <w:rsid w:val="00400869"/>
    <w:rsid w:val="00402BC5"/>
    <w:rsid w:val="00410C96"/>
    <w:rsid w:val="00416FCA"/>
    <w:rsid w:val="0042755D"/>
    <w:rsid w:val="004352D9"/>
    <w:rsid w:val="00435B82"/>
    <w:rsid w:val="00440897"/>
    <w:rsid w:val="0044647E"/>
    <w:rsid w:val="004466B5"/>
    <w:rsid w:val="0044756B"/>
    <w:rsid w:val="00447BAD"/>
    <w:rsid w:val="00447F85"/>
    <w:rsid w:val="00452890"/>
    <w:rsid w:val="00466E5C"/>
    <w:rsid w:val="0047336C"/>
    <w:rsid w:val="0047394B"/>
    <w:rsid w:val="004752CA"/>
    <w:rsid w:val="00477531"/>
    <w:rsid w:val="00477681"/>
    <w:rsid w:val="00483527"/>
    <w:rsid w:val="00485BFB"/>
    <w:rsid w:val="00493B8E"/>
    <w:rsid w:val="00495ECB"/>
    <w:rsid w:val="0049765B"/>
    <w:rsid w:val="00497979"/>
    <w:rsid w:val="004A485D"/>
    <w:rsid w:val="004A6B67"/>
    <w:rsid w:val="004B1667"/>
    <w:rsid w:val="004B508D"/>
    <w:rsid w:val="004B5F95"/>
    <w:rsid w:val="004C0F30"/>
    <w:rsid w:val="004C5AA0"/>
    <w:rsid w:val="004C6E0F"/>
    <w:rsid w:val="004D1E64"/>
    <w:rsid w:val="004D556F"/>
    <w:rsid w:val="004D5F45"/>
    <w:rsid w:val="004E15A6"/>
    <w:rsid w:val="004E261E"/>
    <w:rsid w:val="004E3841"/>
    <w:rsid w:val="004F1A63"/>
    <w:rsid w:val="004F53EE"/>
    <w:rsid w:val="004F54F7"/>
    <w:rsid w:val="00504AA8"/>
    <w:rsid w:val="0051035B"/>
    <w:rsid w:val="00513F51"/>
    <w:rsid w:val="00514490"/>
    <w:rsid w:val="0051455C"/>
    <w:rsid w:val="00514A0B"/>
    <w:rsid w:val="00523CAE"/>
    <w:rsid w:val="00532F6B"/>
    <w:rsid w:val="00533677"/>
    <w:rsid w:val="005402CB"/>
    <w:rsid w:val="00543FCE"/>
    <w:rsid w:val="00545476"/>
    <w:rsid w:val="00545AB4"/>
    <w:rsid w:val="00546438"/>
    <w:rsid w:val="005503FE"/>
    <w:rsid w:val="00550CB0"/>
    <w:rsid w:val="00553743"/>
    <w:rsid w:val="00560B78"/>
    <w:rsid w:val="00563AC0"/>
    <w:rsid w:val="00564E98"/>
    <w:rsid w:val="0056766B"/>
    <w:rsid w:val="00572593"/>
    <w:rsid w:val="0057417A"/>
    <w:rsid w:val="00574302"/>
    <w:rsid w:val="0057525D"/>
    <w:rsid w:val="00576D46"/>
    <w:rsid w:val="00581212"/>
    <w:rsid w:val="0058151E"/>
    <w:rsid w:val="0058327D"/>
    <w:rsid w:val="005835E9"/>
    <w:rsid w:val="005937BB"/>
    <w:rsid w:val="00596F89"/>
    <w:rsid w:val="005A14C2"/>
    <w:rsid w:val="005A57FD"/>
    <w:rsid w:val="005A6CEF"/>
    <w:rsid w:val="005B1453"/>
    <w:rsid w:val="005B213E"/>
    <w:rsid w:val="005B2FF5"/>
    <w:rsid w:val="005B436A"/>
    <w:rsid w:val="005B7BD2"/>
    <w:rsid w:val="005C1C3C"/>
    <w:rsid w:val="005C2B1C"/>
    <w:rsid w:val="005C6E64"/>
    <w:rsid w:val="005D07AC"/>
    <w:rsid w:val="005D341A"/>
    <w:rsid w:val="005D4C8B"/>
    <w:rsid w:val="005D4EBE"/>
    <w:rsid w:val="005D68C9"/>
    <w:rsid w:val="005E0956"/>
    <w:rsid w:val="005E23A2"/>
    <w:rsid w:val="005E359D"/>
    <w:rsid w:val="005E50C1"/>
    <w:rsid w:val="005E5CAF"/>
    <w:rsid w:val="005E6793"/>
    <w:rsid w:val="005F21D5"/>
    <w:rsid w:val="005F2D08"/>
    <w:rsid w:val="005F4BDB"/>
    <w:rsid w:val="005F7965"/>
    <w:rsid w:val="006075C9"/>
    <w:rsid w:val="00610319"/>
    <w:rsid w:val="006133DA"/>
    <w:rsid w:val="006168B1"/>
    <w:rsid w:val="006208AE"/>
    <w:rsid w:val="00621937"/>
    <w:rsid w:val="00625F53"/>
    <w:rsid w:val="00626F08"/>
    <w:rsid w:val="00627861"/>
    <w:rsid w:val="00633848"/>
    <w:rsid w:val="00635CAE"/>
    <w:rsid w:val="00645A42"/>
    <w:rsid w:val="006466DF"/>
    <w:rsid w:val="0065165A"/>
    <w:rsid w:val="00662FB4"/>
    <w:rsid w:val="00667DBF"/>
    <w:rsid w:val="00670AAE"/>
    <w:rsid w:val="00671214"/>
    <w:rsid w:val="0068107A"/>
    <w:rsid w:val="006823B4"/>
    <w:rsid w:val="00683892"/>
    <w:rsid w:val="00684835"/>
    <w:rsid w:val="006848C3"/>
    <w:rsid w:val="006870C9"/>
    <w:rsid w:val="00696E47"/>
    <w:rsid w:val="006978B5"/>
    <w:rsid w:val="006A28A0"/>
    <w:rsid w:val="006A2F97"/>
    <w:rsid w:val="006A6288"/>
    <w:rsid w:val="006B0AEE"/>
    <w:rsid w:val="006B3D60"/>
    <w:rsid w:val="006B711F"/>
    <w:rsid w:val="006B756B"/>
    <w:rsid w:val="006B7ED0"/>
    <w:rsid w:val="006C385E"/>
    <w:rsid w:val="006C432C"/>
    <w:rsid w:val="006C50C4"/>
    <w:rsid w:val="006D488A"/>
    <w:rsid w:val="006D58E9"/>
    <w:rsid w:val="006D66F1"/>
    <w:rsid w:val="006E0812"/>
    <w:rsid w:val="006E2BE2"/>
    <w:rsid w:val="006E3A92"/>
    <w:rsid w:val="006E51E0"/>
    <w:rsid w:val="006F4D55"/>
    <w:rsid w:val="006F65A5"/>
    <w:rsid w:val="006F6632"/>
    <w:rsid w:val="00700F13"/>
    <w:rsid w:val="007019A6"/>
    <w:rsid w:val="00712DA5"/>
    <w:rsid w:val="00723B67"/>
    <w:rsid w:val="007258D5"/>
    <w:rsid w:val="00725AE4"/>
    <w:rsid w:val="00737A12"/>
    <w:rsid w:val="007461E3"/>
    <w:rsid w:val="0075246F"/>
    <w:rsid w:val="007536FE"/>
    <w:rsid w:val="00754851"/>
    <w:rsid w:val="00761839"/>
    <w:rsid w:val="0076236C"/>
    <w:rsid w:val="00765A5D"/>
    <w:rsid w:val="00766676"/>
    <w:rsid w:val="00772438"/>
    <w:rsid w:val="007773A9"/>
    <w:rsid w:val="0078232C"/>
    <w:rsid w:val="00782889"/>
    <w:rsid w:val="00783AE4"/>
    <w:rsid w:val="00790B76"/>
    <w:rsid w:val="007929D3"/>
    <w:rsid w:val="007A1716"/>
    <w:rsid w:val="007A23FF"/>
    <w:rsid w:val="007A4EED"/>
    <w:rsid w:val="007A6204"/>
    <w:rsid w:val="007A62B2"/>
    <w:rsid w:val="007A7C13"/>
    <w:rsid w:val="007B2A74"/>
    <w:rsid w:val="007B4181"/>
    <w:rsid w:val="007B7379"/>
    <w:rsid w:val="007C0705"/>
    <w:rsid w:val="007C1449"/>
    <w:rsid w:val="007C38DE"/>
    <w:rsid w:val="007C3BFA"/>
    <w:rsid w:val="007C6D5A"/>
    <w:rsid w:val="007D01B5"/>
    <w:rsid w:val="007D0A2B"/>
    <w:rsid w:val="007D1F61"/>
    <w:rsid w:val="007D76C0"/>
    <w:rsid w:val="007E313C"/>
    <w:rsid w:val="007E4355"/>
    <w:rsid w:val="007E7DE8"/>
    <w:rsid w:val="007F1623"/>
    <w:rsid w:val="007F2783"/>
    <w:rsid w:val="007F57FB"/>
    <w:rsid w:val="007F7477"/>
    <w:rsid w:val="008020D8"/>
    <w:rsid w:val="008025CB"/>
    <w:rsid w:val="00804E87"/>
    <w:rsid w:val="00806AF5"/>
    <w:rsid w:val="008115B8"/>
    <w:rsid w:val="00817856"/>
    <w:rsid w:val="00820D95"/>
    <w:rsid w:val="00823471"/>
    <w:rsid w:val="00823FF6"/>
    <w:rsid w:val="00826A7B"/>
    <w:rsid w:val="008310B7"/>
    <w:rsid w:val="008313D5"/>
    <w:rsid w:val="00835444"/>
    <w:rsid w:val="00837388"/>
    <w:rsid w:val="0085103B"/>
    <w:rsid w:val="00853125"/>
    <w:rsid w:val="00854834"/>
    <w:rsid w:val="008548AA"/>
    <w:rsid w:val="008552F0"/>
    <w:rsid w:val="0085535A"/>
    <w:rsid w:val="00857108"/>
    <w:rsid w:val="00860959"/>
    <w:rsid w:val="00861756"/>
    <w:rsid w:val="0086375C"/>
    <w:rsid w:val="008864AA"/>
    <w:rsid w:val="008909D4"/>
    <w:rsid w:val="0089504A"/>
    <w:rsid w:val="008A1965"/>
    <w:rsid w:val="008A2832"/>
    <w:rsid w:val="008B38D4"/>
    <w:rsid w:val="008C2A51"/>
    <w:rsid w:val="008C7075"/>
    <w:rsid w:val="008D3705"/>
    <w:rsid w:val="008D56F7"/>
    <w:rsid w:val="008D57AE"/>
    <w:rsid w:val="008D5FFD"/>
    <w:rsid w:val="008D6AC1"/>
    <w:rsid w:val="008E1D94"/>
    <w:rsid w:val="008E23DC"/>
    <w:rsid w:val="008F406E"/>
    <w:rsid w:val="008F470D"/>
    <w:rsid w:val="008F68FB"/>
    <w:rsid w:val="008F768F"/>
    <w:rsid w:val="009002CB"/>
    <w:rsid w:val="00906A81"/>
    <w:rsid w:val="009074C9"/>
    <w:rsid w:val="009142DE"/>
    <w:rsid w:val="00914A61"/>
    <w:rsid w:val="009169F1"/>
    <w:rsid w:val="0092094C"/>
    <w:rsid w:val="00920BD3"/>
    <w:rsid w:val="00931A05"/>
    <w:rsid w:val="00934C80"/>
    <w:rsid w:val="00943F2A"/>
    <w:rsid w:val="009456E3"/>
    <w:rsid w:val="00952F6C"/>
    <w:rsid w:val="00955ADF"/>
    <w:rsid w:val="00957E8E"/>
    <w:rsid w:val="00967CCD"/>
    <w:rsid w:val="0097233B"/>
    <w:rsid w:val="00974C3C"/>
    <w:rsid w:val="00976792"/>
    <w:rsid w:val="00980EF2"/>
    <w:rsid w:val="0098414E"/>
    <w:rsid w:val="00984A0D"/>
    <w:rsid w:val="00985490"/>
    <w:rsid w:val="009905EA"/>
    <w:rsid w:val="009A11C2"/>
    <w:rsid w:val="009A3EC4"/>
    <w:rsid w:val="009A4CF0"/>
    <w:rsid w:val="009B59DB"/>
    <w:rsid w:val="009B5CBF"/>
    <w:rsid w:val="009B7239"/>
    <w:rsid w:val="009C0BA1"/>
    <w:rsid w:val="009C19E6"/>
    <w:rsid w:val="009D0369"/>
    <w:rsid w:val="009D5C9D"/>
    <w:rsid w:val="009E0D35"/>
    <w:rsid w:val="009E122D"/>
    <w:rsid w:val="009E17FE"/>
    <w:rsid w:val="009E3B06"/>
    <w:rsid w:val="009E574F"/>
    <w:rsid w:val="009F5541"/>
    <w:rsid w:val="00A02113"/>
    <w:rsid w:val="00A21377"/>
    <w:rsid w:val="00A238B3"/>
    <w:rsid w:val="00A24D07"/>
    <w:rsid w:val="00A274F9"/>
    <w:rsid w:val="00A2782B"/>
    <w:rsid w:val="00A3445F"/>
    <w:rsid w:val="00A372B2"/>
    <w:rsid w:val="00A46632"/>
    <w:rsid w:val="00A52FD5"/>
    <w:rsid w:val="00A5384D"/>
    <w:rsid w:val="00A541A9"/>
    <w:rsid w:val="00A55F32"/>
    <w:rsid w:val="00A6436D"/>
    <w:rsid w:val="00A646FA"/>
    <w:rsid w:val="00A64F81"/>
    <w:rsid w:val="00A65F72"/>
    <w:rsid w:val="00A666EE"/>
    <w:rsid w:val="00A708B7"/>
    <w:rsid w:val="00A7170B"/>
    <w:rsid w:val="00A7489A"/>
    <w:rsid w:val="00A7560D"/>
    <w:rsid w:val="00A75B88"/>
    <w:rsid w:val="00A75C0E"/>
    <w:rsid w:val="00A81245"/>
    <w:rsid w:val="00A83C3F"/>
    <w:rsid w:val="00A85FFF"/>
    <w:rsid w:val="00A861DC"/>
    <w:rsid w:val="00A86242"/>
    <w:rsid w:val="00A87DAF"/>
    <w:rsid w:val="00A92334"/>
    <w:rsid w:val="00AA5126"/>
    <w:rsid w:val="00AA7D83"/>
    <w:rsid w:val="00AB0CAE"/>
    <w:rsid w:val="00AB4DD5"/>
    <w:rsid w:val="00AC4E66"/>
    <w:rsid w:val="00AC66F2"/>
    <w:rsid w:val="00AE1761"/>
    <w:rsid w:val="00AE25CF"/>
    <w:rsid w:val="00AE33D1"/>
    <w:rsid w:val="00AF6CE6"/>
    <w:rsid w:val="00B05A75"/>
    <w:rsid w:val="00B119D1"/>
    <w:rsid w:val="00B140FA"/>
    <w:rsid w:val="00B14BD8"/>
    <w:rsid w:val="00B20E47"/>
    <w:rsid w:val="00B2618B"/>
    <w:rsid w:val="00B324EB"/>
    <w:rsid w:val="00B34410"/>
    <w:rsid w:val="00B34AF4"/>
    <w:rsid w:val="00B34E4E"/>
    <w:rsid w:val="00B35423"/>
    <w:rsid w:val="00B35D23"/>
    <w:rsid w:val="00B363DD"/>
    <w:rsid w:val="00B36815"/>
    <w:rsid w:val="00B37BC4"/>
    <w:rsid w:val="00B451F8"/>
    <w:rsid w:val="00B45F3B"/>
    <w:rsid w:val="00B508A2"/>
    <w:rsid w:val="00B50C80"/>
    <w:rsid w:val="00B51475"/>
    <w:rsid w:val="00B52454"/>
    <w:rsid w:val="00B53EB0"/>
    <w:rsid w:val="00B5615E"/>
    <w:rsid w:val="00B621DF"/>
    <w:rsid w:val="00B64A5B"/>
    <w:rsid w:val="00B70B21"/>
    <w:rsid w:val="00B71A2C"/>
    <w:rsid w:val="00B71AC4"/>
    <w:rsid w:val="00B72B3B"/>
    <w:rsid w:val="00B80656"/>
    <w:rsid w:val="00B82067"/>
    <w:rsid w:val="00B8446B"/>
    <w:rsid w:val="00B87F49"/>
    <w:rsid w:val="00B91923"/>
    <w:rsid w:val="00B93F0D"/>
    <w:rsid w:val="00B9637A"/>
    <w:rsid w:val="00B96DEE"/>
    <w:rsid w:val="00BA7CE8"/>
    <w:rsid w:val="00BB18BE"/>
    <w:rsid w:val="00BB541A"/>
    <w:rsid w:val="00BB5D4E"/>
    <w:rsid w:val="00BC5835"/>
    <w:rsid w:val="00BC584B"/>
    <w:rsid w:val="00BD044E"/>
    <w:rsid w:val="00BD0EBA"/>
    <w:rsid w:val="00BD4303"/>
    <w:rsid w:val="00BD75F2"/>
    <w:rsid w:val="00BE2A73"/>
    <w:rsid w:val="00BF0535"/>
    <w:rsid w:val="00BF5C1F"/>
    <w:rsid w:val="00C13F10"/>
    <w:rsid w:val="00C14357"/>
    <w:rsid w:val="00C159BC"/>
    <w:rsid w:val="00C173CB"/>
    <w:rsid w:val="00C17568"/>
    <w:rsid w:val="00C27BC6"/>
    <w:rsid w:val="00C33233"/>
    <w:rsid w:val="00C3401D"/>
    <w:rsid w:val="00C34990"/>
    <w:rsid w:val="00C34EF3"/>
    <w:rsid w:val="00C36532"/>
    <w:rsid w:val="00C40A80"/>
    <w:rsid w:val="00C419D2"/>
    <w:rsid w:val="00C44339"/>
    <w:rsid w:val="00C449FB"/>
    <w:rsid w:val="00C640ED"/>
    <w:rsid w:val="00C72645"/>
    <w:rsid w:val="00C77CF6"/>
    <w:rsid w:val="00C86379"/>
    <w:rsid w:val="00C86743"/>
    <w:rsid w:val="00C86948"/>
    <w:rsid w:val="00C86A9A"/>
    <w:rsid w:val="00C876CA"/>
    <w:rsid w:val="00C91149"/>
    <w:rsid w:val="00C912DE"/>
    <w:rsid w:val="00C958BC"/>
    <w:rsid w:val="00C9766C"/>
    <w:rsid w:val="00CA191A"/>
    <w:rsid w:val="00CA3268"/>
    <w:rsid w:val="00CA3C9A"/>
    <w:rsid w:val="00CA3CD6"/>
    <w:rsid w:val="00CA743D"/>
    <w:rsid w:val="00CB0F1E"/>
    <w:rsid w:val="00CB2CC3"/>
    <w:rsid w:val="00CB58BC"/>
    <w:rsid w:val="00CB77F0"/>
    <w:rsid w:val="00CC244A"/>
    <w:rsid w:val="00CC6DA7"/>
    <w:rsid w:val="00CC72E2"/>
    <w:rsid w:val="00CC741B"/>
    <w:rsid w:val="00CD36A1"/>
    <w:rsid w:val="00CD4D01"/>
    <w:rsid w:val="00CD69FD"/>
    <w:rsid w:val="00CD6CEB"/>
    <w:rsid w:val="00CD6FAA"/>
    <w:rsid w:val="00CE380E"/>
    <w:rsid w:val="00CE462F"/>
    <w:rsid w:val="00CF3A99"/>
    <w:rsid w:val="00CF69AB"/>
    <w:rsid w:val="00CF7FB3"/>
    <w:rsid w:val="00D016C6"/>
    <w:rsid w:val="00D02E28"/>
    <w:rsid w:val="00D06BC5"/>
    <w:rsid w:val="00D0745B"/>
    <w:rsid w:val="00D14DF8"/>
    <w:rsid w:val="00D22868"/>
    <w:rsid w:val="00D250B5"/>
    <w:rsid w:val="00D263F0"/>
    <w:rsid w:val="00D30DDD"/>
    <w:rsid w:val="00D35653"/>
    <w:rsid w:val="00D3575C"/>
    <w:rsid w:val="00D378F9"/>
    <w:rsid w:val="00D40366"/>
    <w:rsid w:val="00D42B49"/>
    <w:rsid w:val="00D44A1F"/>
    <w:rsid w:val="00D47D69"/>
    <w:rsid w:val="00D57144"/>
    <w:rsid w:val="00D61A2D"/>
    <w:rsid w:val="00D66CB3"/>
    <w:rsid w:val="00D70732"/>
    <w:rsid w:val="00D72F49"/>
    <w:rsid w:val="00D73884"/>
    <w:rsid w:val="00D76390"/>
    <w:rsid w:val="00D812F9"/>
    <w:rsid w:val="00D91DD1"/>
    <w:rsid w:val="00D93EA7"/>
    <w:rsid w:val="00D975F4"/>
    <w:rsid w:val="00D97AA9"/>
    <w:rsid w:val="00DA1244"/>
    <w:rsid w:val="00DA695A"/>
    <w:rsid w:val="00DA7006"/>
    <w:rsid w:val="00DB184D"/>
    <w:rsid w:val="00DB1A8F"/>
    <w:rsid w:val="00DB69F3"/>
    <w:rsid w:val="00DB78A4"/>
    <w:rsid w:val="00DC578C"/>
    <w:rsid w:val="00DD17CB"/>
    <w:rsid w:val="00DD2756"/>
    <w:rsid w:val="00DD7DBF"/>
    <w:rsid w:val="00DE7F13"/>
    <w:rsid w:val="00DF600D"/>
    <w:rsid w:val="00E0022D"/>
    <w:rsid w:val="00E01BF7"/>
    <w:rsid w:val="00E20E4F"/>
    <w:rsid w:val="00E2248B"/>
    <w:rsid w:val="00E2489B"/>
    <w:rsid w:val="00E253AE"/>
    <w:rsid w:val="00E2666B"/>
    <w:rsid w:val="00E4297C"/>
    <w:rsid w:val="00E43501"/>
    <w:rsid w:val="00E51F25"/>
    <w:rsid w:val="00E51FC2"/>
    <w:rsid w:val="00E55923"/>
    <w:rsid w:val="00E56C0B"/>
    <w:rsid w:val="00E61BA6"/>
    <w:rsid w:val="00E6306E"/>
    <w:rsid w:val="00E66526"/>
    <w:rsid w:val="00E8450C"/>
    <w:rsid w:val="00E84B4B"/>
    <w:rsid w:val="00E84D2A"/>
    <w:rsid w:val="00E914E9"/>
    <w:rsid w:val="00E94BE2"/>
    <w:rsid w:val="00EA2911"/>
    <w:rsid w:val="00EA49DD"/>
    <w:rsid w:val="00EA77AF"/>
    <w:rsid w:val="00EA797B"/>
    <w:rsid w:val="00EB2063"/>
    <w:rsid w:val="00EC6446"/>
    <w:rsid w:val="00EC705B"/>
    <w:rsid w:val="00ED2422"/>
    <w:rsid w:val="00ED45E7"/>
    <w:rsid w:val="00ED5562"/>
    <w:rsid w:val="00ED7B94"/>
    <w:rsid w:val="00EE204A"/>
    <w:rsid w:val="00EE44A0"/>
    <w:rsid w:val="00EE5B2C"/>
    <w:rsid w:val="00EE6188"/>
    <w:rsid w:val="00EF1B3F"/>
    <w:rsid w:val="00EF28DB"/>
    <w:rsid w:val="00EF4CD3"/>
    <w:rsid w:val="00EF5575"/>
    <w:rsid w:val="00EF7BB4"/>
    <w:rsid w:val="00F11357"/>
    <w:rsid w:val="00F12149"/>
    <w:rsid w:val="00F178F0"/>
    <w:rsid w:val="00F21352"/>
    <w:rsid w:val="00F21CDE"/>
    <w:rsid w:val="00F3327D"/>
    <w:rsid w:val="00F33780"/>
    <w:rsid w:val="00F35004"/>
    <w:rsid w:val="00F403D4"/>
    <w:rsid w:val="00F40C2A"/>
    <w:rsid w:val="00F4410B"/>
    <w:rsid w:val="00F45CDB"/>
    <w:rsid w:val="00F51A4B"/>
    <w:rsid w:val="00F53E92"/>
    <w:rsid w:val="00F605B3"/>
    <w:rsid w:val="00F60C62"/>
    <w:rsid w:val="00F62E4B"/>
    <w:rsid w:val="00F7614C"/>
    <w:rsid w:val="00F80458"/>
    <w:rsid w:val="00F84050"/>
    <w:rsid w:val="00F852FC"/>
    <w:rsid w:val="00F85522"/>
    <w:rsid w:val="00F86FD7"/>
    <w:rsid w:val="00F90056"/>
    <w:rsid w:val="00F92936"/>
    <w:rsid w:val="00F93982"/>
    <w:rsid w:val="00F97743"/>
    <w:rsid w:val="00FA0142"/>
    <w:rsid w:val="00FA098B"/>
    <w:rsid w:val="00FA0CC3"/>
    <w:rsid w:val="00FA10F4"/>
    <w:rsid w:val="00FA2AAF"/>
    <w:rsid w:val="00FA377A"/>
    <w:rsid w:val="00FA442A"/>
    <w:rsid w:val="00FB03D3"/>
    <w:rsid w:val="00FC2383"/>
    <w:rsid w:val="00FC6925"/>
    <w:rsid w:val="00FD18F0"/>
    <w:rsid w:val="00FD3F77"/>
    <w:rsid w:val="00FD452F"/>
    <w:rsid w:val="00FF0E73"/>
    <w:rsid w:val="00FF3A1D"/>
    <w:rsid w:val="00FF41CB"/>
    <w:rsid w:val="00FF4241"/>
    <w:rsid w:val="00FF5C7C"/>
    <w:rsid w:val="043449DC"/>
    <w:rsid w:val="11DD570E"/>
    <w:rsid w:val="15FF765A"/>
    <w:rsid w:val="16A604F9"/>
    <w:rsid w:val="1BF97BCA"/>
    <w:rsid w:val="1EABAF3A"/>
    <w:rsid w:val="1FFE4B14"/>
    <w:rsid w:val="21EF332E"/>
    <w:rsid w:val="25BF1D8D"/>
    <w:rsid w:val="2DB1FD0C"/>
    <w:rsid w:val="31B32D28"/>
    <w:rsid w:val="32536D6B"/>
    <w:rsid w:val="379FCE77"/>
    <w:rsid w:val="37E63CCB"/>
    <w:rsid w:val="37FF9B55"/>
    <w:rsid w:val="392F592F"/>
    <w:rsid w:val="3AFF932B"/>
    <w:rsid w:val="3BE49CEF"/>
    <w:rsid w:val="3FEB1704"/>
    <w:rsid w:val="3FF1FA79"/>
    <w:rsid w:val="4B7FDCA9"/>
    <w:rsid w:val="5852695D"/>
    <w:rsid w:val="59793F32"/>
    <w:rsid w:val="5AD533DA"/>
    <w:rsid w:val="5BA39BE9"/>
    <w:rsid w:val="5BF7454F"/>
    <w:rsid w:val="5CBF95C2"/>
    <w:rsid w:val="5F5E6939"/>
    <w:rsid w:val="5FB7BCE1"/>
    <w:rsid w:val="5FBB8474"/>
    <w:rsid w:val="5FFF0062"/>
    <w:rsid w:val="65281D23"/>
    <w:rsid w:val="67FF46D1"/>
    <w:rsid w:val="69375E2A"/>
    <w:rsid w:val="693ED441"/>
    <w:rsid w:val="6B7EEF8A"/>
    <w:rsid w:val="6BDF275C"/>
    <w:rsid w:val="6C3F0D12"/>
    <w:rsid w:val="6DEEE271"/>
    <w:rsid w:val="6EA16C4E"/>
    <w:rsid w:val="6FEF1997"/>
    <w:rsid w:val="6FF48388"/>
    <w:rsid w:val="6FFFCE59"/>
    <w:rsid w:val="729116C1"/>
    <w:rsid w:val="73FD3115"/>
    <w:rsid w:val="74295075"/>
    <w:rsid w:val="75FF3A1C"/>
    <w:rsid w:val="78A44C7D"/>
    <w:rsid w:val="79C7B6FC"/>
    <w:rsid w:val="7ADD97CD"/>
    <w:rsid w:val="7B292256"/>
    <w:rsid w:val="7BB7979B"/>
    <w:rsid w:val="7BD90865"/>
    <w:rsid w:val="7BED21C6"/>
    <w:rsid w:val="7BFD4A00"/>
    <w:rsid w:val="7BFF3531"/>
    <w:rsid w:val="7BFF844A"/>
    <w:rsid w:val="7CB73B35"/>
    <w:rsid w:val="7CEB25FA"/>
    <w:rsid w:val="7D7BBB63"/>
    <w:rsid w:val="7DA79615"/>
    <w:rsid w:val="7DA7A864"/>
    <w:rsid w:val="7DFD4710"/>
    <w:rsid w:val="7E2CBF83"/>
    <w:rsid w:val="7E6AD426"/>
    <w:rsid w:val="7EDFCB31"/>
    <w:rsid w:val="7F53DD37"/>
    <w:rsid w:val="7F7F3D15"/>
    <w:rsid w:val="7F7FEBA0"/>
    <w:rsid w:val="7FF50676"/>
    <w:rsid w:val="7FF752D5"/>
    <w:rsid w:val="8BFB70DC"/>
    <w:rsid w:val="8EBF0B7E"/>
    <w:rsid w:val="8F7D29E9"/>
    <w:rsid w:val="97D673BD"/>
    <w:rsid w:val="9AAAE03C"/>
    <w:rsid w:val="9CCBD883"/>
    <w:rsid w:val="9DEF70B9"/>
    <w:rsid w:val="9F9ED2EC"/>
    <w:rsid w:val="A3B78865"/>
    <w:rsid w:val="B7FECA88"/>
    <w:rsid w:val="BBEDD0EA"/>
    <w:rsid w:val="BE732384"/>
    <w:rsid w:val="BEFE94AC"/>
    <w:rsid w:val="BFFF71B6"/>
    <w:rsid w:val="C5EFFB8C"/>
    <w:rsid w:val="C7DC20C5"/>
    <w:rsid w:val="CF9C3833"/>
    <w:rsid w:val="CF9F488E"/>
    <w:rsid w:val="CFFA258F"/>
    <w:rsid w:val="CFFD5290"/>
    <w:rsid w:val="D3C6B49C"/>
    <w:rsid w:val="D6953232"/>
    <w:rsid w:val="D7F797B4"/>
    <w:rsid w:val="D8BE36F8"/>
    <w:rsid w:val="D9FA3F9D"/>
    <w:rsid w:val="DA8EDA67"/>
    <w:rsid w:val="DBCFD865"/>
    <w:rsid w:val="DD934023"/>
    <w:rsid w:val="DDFFCE56"/>
    <w:rsid w:val="DF7F9D6B"/>
    <w:rsid w:val="DFDF73C6"/>
    <w:rsid w:val="DFFDA619"/>
    <w:rsid w:val="E12D31E4"/>
    <w:rsid w:val="E8F28B64"/>
    <w:rsid w:val="EBB75C7F"/>
    <w:rsid w:val="EBFED46F"/>
    <w:rsid w:val="ECBF1A94"/>
    <w:rsid w:val="EE1A70D9"/>
    <w:rsid w:val="EE971084"/>
    <w:rsid w:val="EFAFB5D9"/>
    <w:rsid w:val="EFB75A27"/>
    <w:rsid w:val="EFF56C0D"/>
    <w:rsid w:val="EFFA0651"/>
    <w:rsid w:val="F1F7B92B"/>
    <w:rsid w:val="F4FD1F1A"/>
    <w:rsid w:val="F5EF5D4E"/>
    <w:rsid w:val="F7EF912F"/>
    <w:rsid w:val="FB707F9B"/>
    <w:rsid w:val="FCB25B11"/>
    <w:rsid w:val="FCEA97AC"/>
    <w:rsid w:val="FDAF608C"/>
    <w:rsid w:val="FDDB1919"/>
    <w:rsid w:val="FE27FCA2"/>
    <w:rsid w:val="FE56850C"/>
    <w:rsid w:val="FE7CBF43"/>
    <w:rsid w:val="FE9A526F"/>
    <w:rsid w:val="FF3FD238"/>
    <w:rsid w:val="FF5F9544"/>
    <w:rsid w:val="FF7ADCD6"/>
    <w:rsid w:val="FFBF2B1E"/>
    <w:rsid w:val="FFD51DC2"/>
    <w:rsid w:val="FFDA0184"/>
    <w:rsid w:val="FFEB9985"/>
    <w:rsid w:val="FFEED3AB"/>
    <w:rsid w:val="FFEF89FB"/>
    <w:rsid w:val="FFFE8F48"/>
    <w:rsid w:val="FFFF0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link w:val="2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1"/>
    <w:next w:val="1"/>
    <w:link w:val="34"/>
    <w:semiHidden/>
    <w:unhideWhenUsed/>
    <w:qFormat/>
    <w:uiPriority w:val="9"/>
    <w:pPr>
      <w:keepNext/>
      <w:keepLines/>
      <w:spacing w:before="260" w:after="260" w:line="416" w:lineRule="auto"/>
      <w:outlineLvl w:val="1"/>
    </w:pPr>
    <w:rPr>
      <w:rFonts w:ascii="等线 Light" w:hAnsi="等线 Light" w:eastAsia="等线 Light" w:cs="宋体"/>
      <w:b/>
      <w:bCs/>
      <w:sz w:val="32"/>
      <w:szCs w:val="32"/>
    </w:rPr>
  </w:style>
  <w:style w:type="paragraph" w:styleId="4">
    <w:name w:val="heading 3"/>
    <w:basedOn w:val="3"/>
    <w:next w:val="1"/>
    <w:link w:val="22"/>
    <w:semiHidden/>
    <w:unhideWhenUsed/>
    <w:qFormat/>
    <w:uiPriority w:val="9"/>
    <w:pPr>
      <w:spacing w:before="120" w:after="180" w:line="240" w:lineRule="auto"/>
      <w:ind w:left="1134" w:hanging="1134"/>
      <w:outlineLvl w:val="2"/>
    </w:pPr>
    <w:rPr>
      <w:rFonts w:ascii="Arial" w:hAnsi="Arial" w:eastAsia="等线" w:cs="Times New Roman"/>
      <w:b w:val="0"/>
      <w:bCs w:val="0"/>
      <w:sz w:val="28"/>
      <w:szCs w:val="20"/>
    </w:rPr>
  </w:style>
  <w:style w:type="paragraph" w:styleId="5">
    <w:name w:val="heading 4"/>
    <w:basedOn w:val="1"/>
    <w:next w:val="1"/>
    <w:unhideWhenUsed/>
    <w:qFormat/>
    <w:uiPriority w:val="9"/>
    <w:pPr>
      <w:spacing w:beforeAutospacing="1" w:after="0" w:afterAutospacing="1"/>
      <w:outlineLvl w:val="3"/>
    </w:pPr>
    <w:rPr>
      <w:rFonts w:hint="eastAsia" w:ascii="宋体" w:hAnsi="宋体" w:eastAsia="宋体"/>
      <w:b/>
      <w:bCs/>
      <w:sz w:val="24"/>
      <w:szCs w:val="24"/>
      <w:lang w:val="en-US" w:eastAsia="zh-CN"/>
    </w:rPr>
  </w:style>
  <w:style w:type="paragraph" w:styleId="6">
    <w:name w:val="heading 8"/>
    <w:basedOn w:val="2"/>
    <w:next w:val="1"/>
    <w:link w:val="23"/>
    <w:qFormat/>
    <w:uiPriority w:val="0"/>
    <w:pPr>
      <w:ind w:left="0" w:firstLine="0"/>
      <w:outlineLvl w:val="7"/>
    </w:p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4"/>
    <w:qFormat/>
    <w:uiPriority w:val="35"/>
    <w:pPr>
      <w:spacing w:before="120" w:after="120"/>
    </w:pPr>
    <w:rPr>
      <w:rFonts w:eastAsia="宋体"/>
      <w:b/>
      <w:bCs/>
      <w:lang w:val="en-US" w:eastAsia="en-US"/>
    </w:rPr>
  </w:style>
  <w:style w:type="paragraph" w:styleId="8">
    <w:name w:val="annotation text"/>
    <w:basedOn w:val="1"/>
    <w:link w:val="38"/>
    <w:qFormat/>
    <w:uiPriority w:val="99"/>
    <w:pPr>
      <w:spacing w:before="100" w:beforeAutospacing="1"/>
    </w:pPr>
    <w:rPr>
      <w:lang w:val="en-US" w:eastAsia="zh-CN"/>
    </w:rPr>
  </w:style>
  <w:style w:type="paragraph" w:styleId="9">
    <w:name w:val="Body Text"/>
    <w:basedOn w:val="1"/>
    <w:semiHidden/>
    <w:unhideWhenUsed/>
    <w:qFormat/>
    <w:uiPriority w:val="99"/>
    <w:pPr>
      <w:spacing w:after="120"/>
    </w:pPr>
  </w:style>
  <w:style w:type="paragraph" w:styleId="10">
    <w:name w:val="Balloon Text"/>
    <w:basedOn w:val="1"/>
    <w:link w:val="36"/>
    <w:qFormat/>
    <w:uiPriority w:val="99"/>
    <w:pPr>
      <w:spacing w:after="0"/>
    </w:pPr>
    <w:rPr>
      <w:sz w:val="18"/>
      <w:szCs w:val="18"/>
    </w:rPr>
  </w:style>
  <w:style w:type="paragraph" w:styleId="11">
    <w:name w:val="footer"/>
    <w:basedOn w:val="12"/>
    <w:link w:val="29"/>
    <w:qFormat/>
    <w:uiPriority w:val="0"/>
    <w:pPr>
      <w:widowControl w:val="0"/>
      <w:pBdr>
        <w:bottom w:val="none" w:color="auto" w:sz="0" w:space="0"/>
      </w:pBdr>
      <w:tabs>
        <w:tab w:val="center" w:pos="4153"/>
        <w:tab w:val="right" w:pos="8306"/>
      </w:tabs>
      <w:snapToGrid/>
      <w:spacing w:after="0"/>
    </w:pPr>
    <w:rPr>
      <w:rFonts w:ascii="Arial" w:hAnsi="Arial"/>
      <w:b/>
      <w:i/>
      <w:szCs w:val="20"/>
    </w:rPr>
  </w:style>
  <w:style w:type="paragraph" w:styleId="12">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szCs w:val="24"/>
    </w:rPr>
  </w:style>
  <w:style w:type="paragraph" w:styleId="14">
    <w:name w:val="annotation subject"/>
    <w:basedOn w:val="8"/>
    <w:next w:val="8"/>
    <w:link w:val="39"/>
    <w:qFormat/>
    <w:uiPriority w:val="99"/>
    <w:pPr>
      <w:spacing w:before="0" w:beforeAutospacing="0"/>
    </w:pPr>
    <w:rPr>
      <w:b/>
      <w:bCs/>
      <w:lang w:val="en-GB" w:eastAsia="en-GB"/>
    </w:rPr>
  </w:style>
  <w:style w:type="table" w:styleId="16">
    <w:name w:val="Table Grid"/>
    <w:basedOn w:val="15"/>
    <w:qFormat/>
    <w:uiPriority w:val="0"/>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Hyperlink"/>
    <w:qFormat/>
    <w:uiPriority w:val="0"/>
    <w:rPr>
      <w:color w:val="0000FF"/>
      <w:u w:val="single"/>
    </w:rPr>
  </w:style>
  <w:style w:type="character" w:styleId="20">
    <w:name w:val="annotation reference"/>
    <w:basedOn w:val="17"/>
    <w:qFormat/>
    <w:uiPriority w:val="99"/>
    <w:rPr>
      <w:sz w:val="21"/>
      <w:szCs w:val="21"/>
    </w:rPr>
  </w:style>
  <w:style w:type="character" w:customStyle="1" w:styleId="21">
    <w:name w:val="标题 1 字符"/>
    <w:basedOn w:val="17"/>
    <w:link w:val="2"/>
    <w:qFormat/>
    <w:uiPriority w:val="0"/>
    <w:rPr>
      <w:rFonts w:ascii="Arial" w:hAnsi="Arial" w:cs="Times New Roman"/>
      <w:kern w:val="0"/>
      <w:sz w:val="36"/>
      <w:szCs w:val="20"/>
      <w:lang w:val="en-GB" w:eastAsia="en-GB"/>
    </w:rPr>
  </w:style>
  <w:style w:type="character" w:customStyle="1" w:styleId="22">
    <w:name w:val="标题 3 字符"/>
    <w:basedOn w:val="17"/>
    <w:link w:val="4"/>
    <w:qFormat/>
    <w:uiPriority w:val="0"/>
    <w:rPr>
      <w:rFonts w:ascii="Arial" w:hAnsi="Arial" w:cs="Times New Roman"/>
      <w:kern w:val="0"/>
      <w:sz w:val="28"/>
      <w:szCs w:val="20"/>
      <w:lang w:val="en-GB" w:eastAsia="en-GB"/>
    </w:rPr>
  </w:style>
  <w:style w:type="character" w:customStyle="1" w:styleId="23">
    <w:name w:val="标题 8 字符"/>
    <w:basedOn w:val="17"/>
    <w:link w:val="6"/>
    <w:qFormat/>
    <w:uiPriority w:val="0"/>
    <w:rPr>
      <w:rFonts w:ascii="Arial" w:hAnsi="Arial" w:cs="Times New Roman"/>
      <w:kern w:val="0"/>
      <w:sz w:val="36"/>
      <w:szCs w:val="20"/>
      <w:lang w:val="en-GB" w:eastAsia="en-GB"/>
    </w:rPr>
  </w:style>
  <w:style w:type="paragraph" w:customStyle="1" w:styleId="24">
    <w:name w:val="TAL"/>
    <w:basedOn w:val="1"/>
    <w:qFormat/>
    <w:uiPriority w:val="0"/>
    <w:pPr>
      <w:keepNext/>
      <w:keepLines/>
      <w:spacing w:after="0"/>
    </w:pPr>
    <w:rPr>
      <w:rFonts w:ascii="Arial" w:hAnsi="Arial"/>
      <w:sz w:val="18"/>
    </w:rPr>
  </w:style>
  <w:style w:type="paragraph" w:customStyle="1" w:styleId="25">
    <w:name w:val="TAH"/>
    <w:basedOn w:val="26"/>
    <w:qFormat/>
    <w:uiPriority w:val="0"/>
    <w:rPr>
      <w:b/>
    </w:rPr>
  </w:style>
  <w:style w:type="paragraph" w:customStyle="1" w:styleId="26">
    <w:name w:val="TAC"/>
    <w:basedOn w:val="24"/>
    <w:qFormat/>
    <w:uiPriority w:val="0"/>
    <w:pPr>
      <w:jc w:val="center"/>
    </w:pPr>
  </w:style>
  <w:style w:type="paragraph" w:customStyle="1" w:styleId="27">
    <w:name w:val="CR Cover Page"/>
    <w:qFormat/>
    <w:uiPriority w:val="0"/>
    <w:pPr>
      <w:spacing w:after="120"/>
    </w:pPr>
    <w:rPr>
      <w:rFonts w:ascii="Arial" w:hAnsi="Arial" w:eastAsia="等线" w:cs="Times New Roman"/>
      <w:lang w:val="en-GB" w:eastAsia="en-US" w:bidi="ar-SA"/>
    </w:rPr>
  </w:style>
  <w:style w:type="paragraph" w:customStyle="1" w:styleId="28">
    <w:name w:val="NO"/>
    <w:basedOn w:val="1"/>
    <w:qFormat/>
    <w:uiPriority w:val="0"/>
    <w:pPr>
      <w:keepLines/>
      <w:ind w:left="1135" w:hanging="851"/>
    </w:pPr>
  </w:style>
  <w:style w:type="character" w:customStyle="1" w:styleId="29">
    <w:name w:val="页脚 字符"/>
    <w:basedOn w:val="17"/>
    <w:link w:val="11"/>
    <w:qFormat/>
    <w:uiPriority w:val="0"/>
    <w:rPr>
      <w:rFonts w:ascii="Arial" w:hAnsi="Arial" w:cs="Times New Roman"/>
      <w:b/>
      <w:i/>
      <w:kern w:val="0"/>
      <w:sz w:val="18"/>
      <w:szCs w:val="20"/>
      <w:lang w:val="en-GB" w:eastAsia="en-GB"/>
    </w:rPr>
  </w:style>
  <w:style w:type="paragraph" w:customStyle="1" w:styleId="3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Guidance"/>
    <w:basedOn w:val="1"/>
    <w:qFormat/>
    <w:uiPriority w:val="0"/>
    <w:rPr>
      <w:i/>
      <w:color w:val="000000"/>
      <w:lang w:eastAsia="ja-JP"/>
    </w:rPr>
  </w:style>
  <w:style w:type="paragraph" w:styleId="32">
    <w:name w:val="List Paragraph"/>
    <w:basedOn w:val="1"/>
    <w:link w:val="33"/>
    <w:qFormat/>
    <w:uiPriority w:val="34"/>
    <w:pPr>
      <w:ind w:left="720"/>
      <w:contextualSpacing/>
    </w:pPr>
    <w:rPr>
      <w:rFonts w:eastAsia="宋体"/>
      <w:lang w:eastAsia="en-US"/>
    </w:rPr>
  </w:style>
  <w:style w:type="character" w:customStyle="1" w:styleId="33">
    <w:name w:val="列表段落 字符"/>
    <w:link w:val="32"/>
    <w:qFormat/>
    <w:uiPriority w:val="34"/>
    <w:rPr>
      <w:rFonts w:ascii="Times New Roman" w:hAnsi="Times New Roman" w:eastAsia="宋体" w:cs="Times New Roman"/>
      <w:kern w:val="0"/>
      <w:sz w:val="20"/>
      <w:szCs w:val="20"/>
      <w:lang w:val="en-GB" w:eastAsia="en-US"/>
    </w:rPr>
  </w:style>
  <w:style w:type="character" w:customStyle="1" w:styleId="34">
    <w:name w:val="标题 2 字符"/>
    <w:basedOn w:val="17"/>
    <w:link w:val="3"/>
    <w:qFormat/>
    <w:uiPriority w:val="9"/>
    <w:rPr>
      <w:rFonts w:ascii="等线 Light" w:hAnsi="等线 Light" w:eastAsia="等线 Light" w:cs="宋体"/>
      <w:b/>
      <w:bCs/>
      <w:kern w:val="0"/>
      <w:sz w:val="32"/>
      <w:szCs w:val="32"/>
      <w:lang w:val="en-GB" w:eastAsia="en-GB"/>
    </w:rPr>
  </w:style>
  <w:style w:type="character" w:customStyle="1" w:styleId="35">
    <w:name w:val="页眉 字符"/>
    <w:basedOn w:val="17"/>
    <w:link w:val="12"/>
    <w:qFormat/>
    <w:uiPriority w:val="99"/>
    <w:rPr>
      <w:rFonts w:ascii="Times New Roman" w:hAnsi="Times New Roman" w:cs="Times New Roman"/>
      <w:kern w:val="0"/>
      <w:sz w:val="18"/>
      <w:szCs w:val="18"/>
      <w:lang w:val="en-GB" w:eastAsia="en-GB"/>
    </w:rPr>
  </w:style>
  <w:style w:type="character" w:customStyle="1" w:styleId="36">
    <w:name w:val="批注框文本 字符"/>
    <w:basedOn w:val="17"/>
    <w:link w:val="10"/>
    <w:qFormat/>
    <w:uiPriority w:val="99"/>
    <w:rPr>
      <w:rFonts w:ascii="Times New Roman" w:hAnsi="Times New Roman" w:cs="Times New Roman"/>
      <w:kern w:val="0"/>
      <w:sz w:val="18"/>
      <w:szCs w:val="18"/>
      <w:lang w:val="en-GB" w:eastAsia="en-GB"/>
    </w:rPr>
  </w:style>
  <w:style w:type="character" w:styleId="37">
    <w:name w:val="Placeholder Text"/>
    <w:basedOn w:val="17"/>
    <w:qFormat/>
    <w:uiPriority w:val="99"/>
    <w:rPr>
      <w:color w:val="808080"/>
    </w:rPr>
  </w:style>
  <w:style w:type="character" w:customStyle="1" w:styleId="38">
    <w:name w:val="批注文字 字符"/>
    <w:basedOn w:val="17"/>
    <w:link w:val="8"/>
    <w:qFormat/>
    <w:uiPriority w:val="99"/>
    <w:rPr>
      <w:rFonts w:ascii="Times New Roman" w:hAnsi="Times New Roman" w:eastAsia="等线" w:cs="Times New Roman"/>
      <w:kern w:val="0"/>
      <w:sz w:val="20"/>
      <w:szCs w:val="20"/>
    </w:rPr>
  </w:style>
  <w:style w:type="character" w:customStyle="1" w:styleId="39">
    <w:name w:val="批注主题 字符"/>
    <w:basedOn w:val="38"/>
    <w:link w:val="14"/>
    <w:qFormat/>
    <w:uiPriority w:val="99"/>
    <w:rPr>
      <w:rFonts w:ascii="Times New Roman" w:hAnsi="Times New Roman" w:eastAsia="等线" w:cs="Times New Roman"/>
      <w:b/>
      <w:bCs/>
      <w:kern w:val="0"/>
      <w:sz w:val="20"/>
      <w:szCs w:val="20"/>
      <w:lang w:val="en-GB" w:eastAsia="en-GB"/>
    </w:rPr>
  </w:style>
  <w:style w:type="paragraph" w:customStyle="1" w:styleId="40">
    <w:name w:val="修订1"/>
    <w:hidden/>
    <w:semiHidden/>
    <w:qFormat/>
    <w:uiPriority w:val="99"/>
    <w:rPr>
      <w:rFonts w:ascii="Times New Roman" w:hAnsi="Times New Roman" w:eastAsia="等线" w:cs="Times New Roman"/>
      <w:lang w:val="en-GB" w:eastAsia="en-GB" w:bidi="ar-SA"/>
    </w:rPr>
  </w:style>
  <w:style w:type="character" w:customStyle="1" w:styleId="41">
    <w:name w:val="mord"/>
    <w:basedOn w:val="17"/>
    <w:qFormat/>
    <w:uiPriority w:val="0"/>
  </w:style>
  <w:style w:type="character" w:customStyle="1" w:styleId="42">
    <w:name w:val="vlist-s"/>
    <w:basedOn w:val="17"/>
    <w:qFormat/>
    <w:uiPriority w:val="0"/>
  </w:style>
  <w:style w:type="character" w:customStyle="1" w:styleId="43">
    <w:name w:val="mrel"/>
    <w:basedOn w:val="17"/>
    <w:qFormat/>
    <w:uiPriority w:val="0"/>
  </w:style>
  <w:style w:type="character" w:customStyle="1" w:styleId="44">
    <w:name w:val="题注 字符"/>
    <w:link w:val="7"/>
    <w:qFormat/>
    <w:uiPriority w:val="35"/>
    <w:rPr>
      <w:rFonts w:ascii="Times New Roman" w:hAnsi="Times New Roman" w:eastAsia="宋体" w:cs="Times New Roman"/>
      <w:b/>
      <w:bCs/>
      <w:lang w:eastAsia="en-US"/>
    </w:rPr>
  </w:style>
  <w:style w:type="paragraph" w:customStyle="1" w:styleId="45">
    <w:name w:val="3GPP_Header"/>
    <w:basedOn w:val="9"/>
    <w:qFormat/>
    <w:uiPriority w:val="0"/>
    <w:pPr>
      <w:spacing w:after="240"/>
      <w:jc w:val="both"/>
    </w:pPr>
    <w:rPr>
      <w:rFonts w:ascii="Arial" w:hAnsi="Arial"/>
      <w:b/>
      <w:sz w:val="24"/>
    </w:rPr>
  </w:style>
  <w:style w:type="paragraph" w:customStyle="1" w:styleId="46">
    <w:name w:val="3GPP Normal Text"/>
    <w:basedOn w:val="9"/>
    <w:link w:val="47"/>
    <w:qFormat/>
    <w:uiPriority w:val="0"/>
    <w:pPr>
      <w:overflowPunct/>
      <w:autoSpaceDE/>
      <w:autoSpaceDN/>
      <w:adjustRightInd/>
      <w:ind w:left="720" w:hanging="720"/>
      <w:jc w:val="both"/>
      <w:textAlignment w:val="auto"/>
    </w:pPr>
    <w:rPr>
      <w:rFonts w:eastAsia="MS Mincho"/>
      <w:sz w:val="22"/>
      <w:szCs w:val="24"/>
      <w:lang w:val="zh-CN" w:eastAsia="zh-CN"/>
    </w:rPr>
  </w:style>
  <w:style w:type="character" w:customStyle="1" w:styleId="47">
    <w:name w:val="3GPP Normal Text Char"/>
    <w:link w:val="46"/>
    <w:qFormat/>
    <w:uiPriority w:val="0"/>
    <w:rPr>
      <w:rFonts w:eastAsia="MS Mincho"/>
      <w:sz w:val="22"/>
      <w:szCs w:val="24"/>
      <w:lang w:val="zh-CN" w:eastAsia="zh-CN"/>
    </w:rPr>
  </w:style>
  <w:style w:type="paragraph" w:customStyle="1" w:styleId="48">
    <w:name w:val="Reference"/>
    <w:basedOn w:val="9"/>
    <w:qFormat/>
    <w:uiPriority w:val="0"/>
    <w:pPr>
      <w:numPr>
        <w:ilvl w:val="0"/>
        <w:numId w:val="1"/>
      </w:numPr>
      <w:jc w:val="both"/>
    </w:pPr>
    <w:rPr>
      <w:rFonts w:ascii="Arial" w:hAnsi="Arial" w:eastAsia="Times New Roman"/>
    </w:rPr>
  </w:style>
  <w:style w:type="table" w:customStyle="1" w:styleId="49">
    <w:name w:val="TableGrid1"/>
    <w:basedOn w:val="15"/>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1773</Words>
  <Characters>10719</Characters>
  <Lines>412</Lines>
  <Paragraphs>265</Paragraphs>
  <TotalTime>13</TotalTime>
  <ScaleCrop>false</ScaleCrop>
  <LinksUpToDate>false</LinksUpToDate>
  <CharactersWithSpaces>12331</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2026-01-30T08:03:00Z</dcterms:created>
  <dc:creator>user</dc:creator>
  <cp:lastModifiedBy>XY</cp:lastModifiedBy>
  <dcterms:modified xsi:type="dcterms:W3CDTF">2026-01-30T15:02:05Z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B0C5401C7A25C53B39627C695F3DF05C_43</vt:lpwstr>
  </property>
  <property fmtid="{D5CDD505-2E9C-101B-9397-08002B2CF9AE}" pid="4" name="GrammarlyDocumentId">
    <vt:lpwstr>6b65e349b95f7720201826d41875a094a103b60422436ee4757b37e62f422068</vt:lpwstr>
  </property>
  <property fmtid="{D5CDD505-2E9C-101B-9397-08002B2CF9AE}" pid="5" name="KSOTemplateDocerSaveRecord">
    <vt:lpwstr>eyJoZGlkIjoiNWFkYTBmYjdiOGIzZWUzODQyYTliM2RmYjE2NjFiZjMiLCJ1c2VySWQiOiI1MDIwMDkwMzAifQ==</vt:lpwstr>
  </property>
</Properties>
</file>